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4A202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rFonts w:hint="default" w:ascii="Times New Roman" w:hAnsi="Times New Roman" w:eastAsia="方正小标宋_GBK" w:cs="Times New Roman"/>
          <w:b w:val="0"/>
          <w:bCs w:val="0"/>
          <w:spacing w:val="0"/>
          <w:sz w:val="44"/>
          <w:szCs w:val="44"/>
          <w:lang w:val="en-US" w:eastAsia="zh-CN"/>
        </w:rPr>
      </w:pPr>
    </w:p>
    <w:p w14:paraId="127E8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center"/>
        <w:textAlignment w:val="center"/>
        <w:rPr>
          <w:rFonts w:hint="default" w:ascii="Times New Roman" w:hAnsi="Times New Roman" w:eastAsia="方正小标宋_GBK" w:cs="Times New Roman"/>
          <w:b w:val="0"/>
          <w:bCs w:val="0"/>
          <w:spacing w:val="0"/>
          <w:sz w:val="44"/>
          <w:szCs w:val="44"/>
          <w:lang w:val="en-US" w:eastAsia="zh-CN"/>
        </w:rPr>
      </w:pPr>
    </w:p>
    <w:p w14:paraId="78B0F2A2">
      <w:pPr>
        <w:pStyle w:val="15"/>
        <w:keepNext w:val="0"/>
        <w:keepLines w:val="0"/>
        <w:pageBreakBefore w:val="0"/>
        <w:widowControl/>
        <w:overflowPunct/>
        <w:topLinePunct w:val="0"/>
        <w:bidi w:val="0"/>
        <w:spacing w:after="0" w:line="560" w:lineRule="exact"/>
        <w:rPr>
          <w:rFonts w:hint="default"/>
          <w:lang w:val="en-US" w:eastAsia="zh-CN"/>
        </w:rPr>
      </w:pPr>
    </w:p>
    <w:p w14:paraId="4B1C905C">
      <w:pPr>
        <w:keepNext w:val="0"/>
        <w:keepLines w:val="0"/>
        <w:pageBreakBefore w:val="0"/>
        <w:widowControl/>
        <w:overflowPunct/>
        <w:topLinePunct w:val="0"/>
        <w:bidi w:val="0"/>
        <w:spacing w:line="560" w:lineRule="exact"/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pacing w:val="0"/>
          <w:sz w:val="44"/>
          <w:szCs w:val="44"/>
          <w:lang w:val="en-US" w:eastAsia="zh-CN"/>
        </w:rPr>
        <w:t>关于对《</w:t>
      </w:r>
      <w:r>
        <w:rPr>
          <w:rFonts w:hint="eastAsia" w:ascii="Times New Roman" w:hAnsi="Times New Roman" w:eastAsia="方正小标宋_GBK" w:cs="Times New Roman"/>
          <w:spacing w:val="0"/>
          <w:sz w:val="44"/>
          <w:szCs w:val="44"/>
          <w:lang w:val="en-US" w:eastAsia="zh-CN"/>
        </w:rPr>
        <w:t>新疆S12线-GTBTZ-06项目经理部（钢筋加工厂）临时用地土地复垦方案报告书</w:t>
      </w:r>
      <w:r>
        <w:rPr>
          <w:rFonts w:hint="default" w:ascii="Times New Roman" w:hAnsi="Times New Roman" w:eastAsia="方正小标宋_GBK" w:cs="Times New Roman"/>
          <w:spacing w:val="0"/>
          <w:sz w:val="44"/>
          <w:szCs w:val="44"/>
          <w:lang w:val="en-US" w:eastAsia="zh-CN"/>
        </w:rPr>
        <w:t>》公开征求意见的公告</w:t>
      </w:r>
    </w:p>
    <w:p w14:paraId="4407D7B5">
      <w:pPr>
        <w:pStyle w:val="15"/>
        <w:keepNext w:val="0"/>
        <w:keepLines w:val="0"/>
        <w:pageBreakBefore w:val="0"/>
        <w:widowControl/>
        <w:overflowPunct/>
        <w:topLinePunct w:val="0"/>
        <w:bidi w:val="0"/>
        <w:spacing w:after="0" w:line="560" w:lineRule="exact"/>
        <w:rPr>
          <w:rFonts w:hint="default"/>
          <w:lang w:val="en-US" w:eastAsia="zh-CN"/>
        </w:rPr>
      </w:pPr>
    </w:p>
    <w:p w14:paraId="074C9906">
      <w:pPr>
        <w:keepNext w:val="0"/>
        <w:keepLines w:val="0"/>
        <w:pageBreakBefore w:val="0"/>
        <w:widowControl/>
        <w:suppressLineNumbers w:val="0"/>
        <w:overflowPunct/>
        <w:topLinePunct w:val="0"/>
        <w:bidi w:val="0"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  <w:lang w:val="en-US" w:eastAsia="zh-CN"/>
        </w:rPr>
        <w:t>按照《土地复垦方案》文件规定，对《</w:t>
      </w: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32"/>
          <w:szCs w:val="32"/>
          <w:lang w:val="en-US" w:eastAsia="zh-CN"/>
        </w:rPr>
        <w:t>新疆S12线-GTBTZ-06项目经理部（钢筋加工厂）临时用地土地复垦方案报告书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  <w:lang w:val="en-US" w:eastAsia="zh-CN"/>
        </w:rPr>
        <w:t>》，对公众征询意见的公示文件要求，公示如下：</w:t>
      </w:r>
    </w:p>
    <w:p w14:paraId="5DBE54F2"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560" w:lineRule="exact"/>
        <w:ind w:firstLine="640" w:firstLineChars="200"/>
        <w:jc w:val="left"/>
        <w:rPr>
          <w:rFonts w:hint="default" w:ascii="Times New Roman" w:hAnsi="Times New Roman" w:eastAsia="方正黑体_GBK" w:cs="Times New Roman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bookmarkStart w:id="0" w:name="_Toc22955"/>
      <w:bookmarkStart w:id="1" w:name="_Toc340565569"/>
      <w:bookmarkStart w:id="2" w:name="_Toc340440652"/>
      <w:bookmarkStart w:id="3" w:name="_Toc82249315"/>
      <w:bookmarkStart w:id="4" w:name="_Toc340565702"/>
      <w:bookmarkStart w:id="5" w:name="_Toc341112431"/>
      <w:bookmarkStart w:id="6" w:name="_Toc18372"/>
      <w:bookmarkStart w:id="7" w:name="_Toc8106"/>
      <w:r>
        <w:rPr>
          <w:rFonts w:hint="default" w:ascii="Times New Roman" w:hAnsi="Times New Roman" w:eastAsia="方正黑体_GBK" w:cs="Times New Roman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1.1编制背景及过程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0803DECA">
      <w:pPr>
        <w:keepNext w:val="0"/>
        <w:keepLines w:val="0"/>
        <w:pageBreakBefore w:val="0"/>
        <w:widowControl/>
        <w:suppressLineNumbers w:val="0"/>
        <w:overflowPunct/>
        <w:topLinePunct w:val="0"/>
        <w:bidi w:val="0"/>
        <w:spacing w:line="560" w:lineRule="exact"/>
        <w:ind w:firstLine="640" w:firstLineChars="200"/>
        <w:jc w:val="left"/>
        <w:rPr>
          <w:rFonts w:hint="eastAsia" w:ascii="Times New Roman" w:hAnsi="Times New Roman" w:eastAsia="方正仿宋_GBK" w:cs="Times New Roman"/>
          <w:b w:val="0"/>
          <w:bCs w:val="0"/>
          <w:spacing w:val="0"/>
          <w:sz w:val="32"/>
          <w:szCs w:val="32"/>
          <w:lang w:val="en-US" w:eastAsia="zh-CN"/>
        </w:rPr>
      </w:pPr>
      <w:bookmarkStart w:id="8" w:name="_Toc340440653"/>
      <w:bookmarkStart w:id="9" w:name="_Toc341112432"/>
      <w:bookmarkStart w:id="10" w:name="_Toc340565703"/>
      <w:bookmarkStart w:id="11" w:name="_Toc340565570"/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32"/>
          <w:szCs w:val="32"/>
          <w:lang w:val="en-US" w:eastAsia="zh-CN"/>
        </w:rPr>
        <w:t>浙江交工集团股份有限公司新疆S12线-GTBTZ-06项目经理部新疆S12线-GTBTZ-06项目经理部（钢筋加工厂）临时用地位于新疆巴音郭楞蒙古自治州和静县阿拉沟乡，省道 301 北侧，西南距阿拉沟乡政府约 7.3km，地理坐标：东经 86°12′30″-86°13′15″、北纬 42°45′10″-42°45′45″。S12线的建设不仅是新疆完善现代综合交通体系的关键环节，更是推动区域经济协同、服务国家战略、促进民族团结与社会稳定的重要工程。其必要性体现在路网优化、经济辐射、旅游促进、地形突破、投资拉动及民生保障等多个维度，具有显著的社会效益与经济效益。</w:t>
      </w:r>
    </w:p>
    <w:p w14:paraId="3F08F7A2">
      <w:pPr>
        <w:keepNext w:val="0"/>
        <w:keepLines w:val="0"/>
        <w:pageBreakBefore w:val="0"/>
        <w:widowControl/>
        <w:suppressLineNumbers w:val="0"/>
        <w:overflowPunct/>
        <w:topLinePunct w:val="0"/>
        <w:bidi w:val="0"/>
        <w:spacing w:line="560" w:lineRule="exact"/>
        <w:ind w:firstLine="640" w:firstLineChars="200"/>
        <w:jc w:val="left"/>
        <w:rPr>
          <w:rFonts w:hint="eastAsia" w:ascii="Times New Roman" w:hAnsi="Times New Roman" w:eastAsia="方正仿宋_GBK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32"/>
          <w:szCs w:val="32"/>
          <w:lang w:val="en-US" w:eastAsia="zh-CN"/>
        </w:rPr>
        <w:t>本项目共占用地面积1.9329hm²（28.9935 亩），地类为裸土地（1206），临时使用期限2 年，为国有临时用地。用于建设临时钢筋加工厂，承担钢筋切割、加工、堆放等施工辅助功能。</w:t>
      </w:r>
    </w:p>
    <w:p w14:paraId="1FF136E7">
      <w:pPr>
        <w:keepNext w:val="0"/>
        <w:keepLines w:val="0"/>
        <w:pageBreakBefore w:val="0"/>
        <w:widowControl/>
        <w:suppressLineNumbers w:val="0"/>
        <w:overflowPunct/>
        <w:topLinePunct w:val="0"/>
        <w:bidi w:val="0"/>
        <w:spacing w:line="560" w:lineRule="exact"/>
        <w:ind w:firstLine="640" w:firstLineChars="200"/>
        <w:jc w:val="both"/>
        <w:rPr>
          <w:rFonts w:hint="eastAsia" w:ascii="Times New Roman" w:hAnsi="Times New Roman" w:eastAsia="方正仿宋_GBK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32"/>
          <w:szCs w:val="32"/>
          <w:lang w:val="en-US" w:eastAsia="zh-CN"/>
        </w:rPr>
        <w:t>根据国务院颁布的《土地复垦条例》和国务院七部委（局）《关于加强生产建设项目土地复垦管理工作的通知》（国土资发〔2006〕225号）文件要求，及时复垦利用被损毁的土地，充分挖掘废弃土地潜力，促进土地节约集约利用，保护和改善建设项目周边环境，实现社会经济与生态环境可持续发展，浙江交工集团股份有限公司新疆S12线-GTBTZ-06项目经理部于2026年6月委托思城设计集团有限公司新疆分公司编制《新疆S12线-GTBTZ-06项目经理部（钢筋加工厂）临时用地土地复垦方案报告书》。</w:t>
      </w:r>
    </w:p>
    <w:p w14:paraId="247ECBF6"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560" w:lineRule="exact"/>
        <w:ind w:firstLine="640" w:firstLineChars="200"/>
        <w:jc w:val="left"/>
        <w:rPr>
          <w:rFonts w:hint="default" w:ascii="Times New Roman" w:hAnsi="Times New Roman" w:eastAsia="方正黑体_GBK" w:cs="Times New Roman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bookmarkStart w:id="12" w:name="_Toc25351"/>
      <w:bookmarkStart w:id="13" w:name="_Toc16492"/>
      <w:bookmarkStart w:id="14" w:name="_Toc5914"/>
      <w:bookmarkStart w:id="15" w:name="_Toc82249316"/>
      <w:r>
        <w:rPr>
          <w:rFonts w:hint="default" w:ascii="Times New Roman" w:hAnsi="Times New Roman" w:eastAsia="方正黑体_GBK" w:cs="Times New Roman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1.2复垦方案摘要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r>
        <w:rPr>
          <w:rFonts w:hint="default" w:ascii="Times New Roman" w:hAnsi="Times New Roman" w:eastAsia="方正黑体_GBK" w:cs="Times New Roman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ab/>
      </w:r>
    </w:p>
    <w:p w14:paraId="63F69555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60" w:lineRule="exact"/>
        <w:ind w:firstLine="640" w:firstLineChars="200"/>
        <w:jc w:val="left"/>
        <w:outlineLvl w:val="2"/>
        <w:rPr>
          <w:rFonts w:hint="eastAsia" w:ascii="方正楷体_GBK" w:hAnsi="方正楷体_GBK" w:eastAsia="方正楷体_GBK" w:cs="方正楷体_GBK"/>
          <w:sz w:val="32"/>
          <w:szCs w:val="32"/>
        </w:rPr>
      </w:pPr>
      <w:bookmarkStart w:id="16" w:name="_Toc82249317"/>
      <w:bookmarkStart w:id="17" w:name="_Toc82249318"/>
      <w:r>
        <w:rPr>
          <w:rFonts w:hint="eastAsia" w:ascii="方正楷体_GBK" w:hAnsi="方正楷体_GBK" w:eastAsia="方正楷体_GBK" w:cs="方正楷体_GBK"/>
          <w:sz w:val="32"/>
          <w:szCs w:val="32"/>
        </w:rPr>
        <w:t>1.2.1服务年限</w:t>
      </w:r>
      <w:bookmarkEnd w:id="16"/>
    </w:p>
    <w:bookmarkEnd w:id="17"/>
    <w:p w14:paraId="54DE02C4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snapToGrid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napToGrid/>
          <w:color w:val="auto"/>
          <w:kern w:val="0"/>
          <w:sz w:val="32"/>
          <w:szCs w:val="32"/>
          <w:lang w:val="en-US" w:eastAsia="zh-CN" w:bidi="ar-SA"/>
        </w:rPr>
        <w:t>本项目为新疆S12线-GTBTZ-06项目经理部</w:t>
      </w: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32"/>
          <w:szCs w:val="32"/>
          <w:lang w:val="en-US" w:eastAsia="zh-CN"/>
        </w:rPr>
        <w:t>钢筋加工厂</w:t>
      </w:r>
      <w:r>
        <w:rPr>
          <w:rFonts w:hint="eastAsia" w:ascii="Times New Roman" w:hAnsi="Times New Roman" w:eastAsia="方正仿宋_GBK" w:cs="Times New Roman"/>
          <w:snapToGrid/>
          <w:color w:val="auto"/>
          <w:kern w:val="0"/>
          <w:sz w:val="32"/>
          <w:szCs w:val="32"/>
          <w:lang w:val="en-US" w:eastAsia="zh-CN" w:bidi="ar-SA"/>
        </w:rPr>
        <w:t>临时用地，依据临时用地申报及项目施工组织安排：项目临时用地服务年限为 2 年，自临时用地批准备案之日起计算，仅满足标段施工建设临时</w:t>
      </w: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32"/>
          <w:szCs w:val="32"/>
          <w:lang w:val="en-US" w:eastAsia="zh-CN"/>
        </w:rPr>
        <w:t>钢筋加工厂</w:t>
      </w:r>
      <w:r>
        <w:rPr>
          <w:rFonts w:hint="eastAsia" w:ascii="Times New Roman" w:hAnsi="Times New Roman" w:eastAsia="方正仿宋_GBK" w:cs="Times New Roman"/>
          <w:snapToGrid/>
          <w:color w:val="auto"/>
          <w:kern w:val="0"/>
          <w:sz w:val="32"/>
          <w:szCs w:val="32"/>
          <w:lang w:val="en-US" w:eastAsia="zh-CN" w:bidi="ar-SA"/>
        </w:rPr>
        <w:t>，承担钢筋切割、加工、堆放等施工辅助功能，到期需无条件拆除建构筑物、清理场地，恢复土地原状。结合《土地复垦条例》《土地复垦质量控制标准》及本项目戈壁荒漠区生态恢复特点，本复垦方案全服务年限设定为2年2个月，分段明确如下：</w:t>
      </w:r>
    </w:p>
    <w:p w14:paraId="6C8FC770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snapToGrid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napToGrid/>
          <w:color w:val="auto"/>
          <w:kern w:val="0"/>
          <w:sz w:val="32"/>
          <w:szCs w:val="32"/>
          <w:lang w:val="en-US" w:eastAsia="zh-CN" w:bidi="ar-SA"/>
        </w:rPr>
        <w:t>动态监测与评价期：2年覆盖施工准备期和主体工程施工期，2026年6月—2028年5月，对地形地貌、土壤理化性状开展持续监测、阶段性评价。</w:t>
      </w:r>
    </w:p>
    <w:p w14:paraId="5BA6F00F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snapToGrid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napToGrid/>
          <w:color w:val="auto"/>
          <w:kern w:val="0"/>
          <w:sz w:val="32"/>
          <w:szCs w:val="32"/>
          <w:lang w:val="en-US" w:eastAsia="zh-CN" w:bidi="ar-SA"/>
        </w:rPr>
        <w:t>复垦工程施工期：土地复垦滞后于建设期，设计复垦施工期为2个月2028年6月—2028年7月）临时用地到期拆除清理、场地平整、地貌恢复等工程实施阶段。</w:t>
      </w:r>
      <w:bookmarkStart w:id="21" w:name="_GoBack"/>
      <w:bookmarkEnd w:id="21"/>
    </w:p>
    <w:p w14:paraId="55076972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60" w:lineRule="exact"/>
        <w:ind w:firstLine="640" w:firstLineChars="200"/>
        <w:jc w:val="left"/>
        <w:outlineLvl w:val="2"/>
        <w:rPr>
          <w:rFonts w:hint="default" w:ascii="方正楷体_GBK" w:hAnsi="方正楷体_GBK" w:eastAsia="方正楷体_GBK" w:cs="方正楷体_GBK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sz w:val="32"/>
          <w:szCs w:val="32"/>
        </w:rPr>
        <w:t>1.2.2工程涉及的各类土地面积</w:t>
      </w:r>
    </w:p>
    <w:p w14:paraId="293548D1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snapToGrid/>
          <w:color w:val="auto"/>
          <w:kern w:val="0"/>
          <w:sz w:val="32"/>
          <w:szCs w:val="32"/>
          <w:lang w:val="en-US" w:eastAsia="zh-CN" w:bidi="ar-SA"/>
        </w:rPr>
      </w:pPr>
      <w:bookmarkStart w:id="18" w:name="OLE_LINK2"/>
      <w:bookmarkStart w:id="19" w:name="_Hlk228967561"/>
      <w:r>
        <w:rPr>
          <w:rFonts w:hint="eastAsia" w:ascii="Times New Roman" w:hAnsi="Times New Roman" w:eastAsia="方正仿宋_GBK" w:cs="Times New Roman"/>
          <w:snapToGrid/>
          <w:color w:val="auto"/>
          <w:kern w:val="0"/>
          <w:sz w:val="32"/>
          <w:szCs w:val="32"/>
          <w:lang w:val="en-US" w:eastAsia="zh-CN" w:bidi="ar-SA"/>
        </w:rPr>
        <w:t>临时工程建设占地总面积1.9329hm²，主要为新疆S12线-GTBTZ-06项目经理部简易板房，权属国有土地为1.9329hm²。</w:t>
      </w:r>
    </w:p>
    <w:p w14:paraId="30740F1C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snapToGrid/>
          <w:color w:val="auto"/>
          <w:kern w:val="0"/>
          <w:sz w:val="32"/>
          <w:szCs w:val="32"/>
          <w:lang w:val="en-US" w:eastAsia="zh-CN" w:bidi="ar-SA"/>
        </w:rPr>
      </w:pPr>
    </w:p>
    <w:p w14:paraId="0CCC31B8">
      <w:pPr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表1-1 复垦区土地利用现状表</w:t>
      </w:r>
    </w:p>
    <w:tbl>
      <w:tblPr>
        <w:tblStyle w:val="12"/>
        <w:tblW w:w="8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1"/>
        <w:gridCol w:w="1345"/>
        <w:gridCol w:w="1294"/>
        <w:gridCol w:w="1312"/>
        <w:gridCol w:w="2208"/>
        <w:gridCol w:w="1181"/>
      </w:tblGrid>
      <w:tr w14:paraId="71CCE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18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9438E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地类</w:t>
            </w:r>
          </w:p>
          <w:p w14:paraId="187E349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编码</w:t>
            </w:r>
          </w:p>
        </w:tc>
        <w:tc>
          <w:tcPr>
            <w:tcW w:w="13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D432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地类名称</w:t>
            </w:r>
          </w:p>
        </w:tc>
        <w:tc>
          <w:tcPr>
            <w:tcW w:w="12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85D75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面积</w:t>
            </w:r>
          </w:p>
          <w:p w14:paraId="4D7B7E5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（公顷）</w:t>
            </w:r>
          </w:p>
        </w:tc>
        <w:tc>
          <w:tcPr>
            <w:tcW w:w="131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AAB5C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面积</w:t>
            </w:r>
          </w:p>
          <w:p w14:paraId="0E745D5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（亩）</w:t>
            </w:r>
          </w:p>
        </w:tc>
        <w:tc>
          <w:tcPr>
            <w:tcW w:w="22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FE627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占复垦区总面积比例（%）</w:t>
            </w:r>
          </w:p>
        </w:tc>
        <w:tc>
          <w:tcPr>
            <w:tcW w:w="118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0217E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权属</w:t>
            </w:r>
          </w:p>
          <w:p w14:paraId="0B0F9B7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性质</w:t>
            </w:r>
          </w:p>
        </w:tc>
      </w:tr>
      <w:tr w14:paraId="79E34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8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EFFF2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3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9DA55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其他土地</w:t>
            </w:r>
          </w:p>
        </w:tc>
        <w:tc>
          <w:tcPr>
            <w:tcW w:w="12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FCCF9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1.9329</w:t>
            </w:r>
          </w:p>
        </w:tc>
        <w:tc>
          <w:tcPr>
            <w:tcW w:w="131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B3144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28.9935</w:t>
            </w:r>
          </w:p>
        </w:tc>
        <w:tc>
          <w:tcPr>
            <w:tcW w:w="22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CF5A1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100.00</w:t>
            </w:r>
          </w:p>
        </w:tc>
        <w:tc>
          <w:tcPr>
            <w:tcW w:w="118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D2A9A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lang w:val="en-US" w:eastAsia="zh-CN"/>
              </w:rPr>
              <w:t>国有</w:t>
            </w:r>
          </w:p>
        </w:tc>
      </w:tr>
      <w:tr w14:paraId="0F5AF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8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4F469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1204</w:t>
            </w:r>
          </w:p>
        </w:tc>
        <w:tc>
          <w:tcPr>
            <w:tcW w:w="13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A840D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裸土地</w:t>
            </w:r>
          </w:p>
        </w:tc>
        <w:tc>
          <w:tcPr>
            <w:tcW w:w="12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10BF5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1.9329</w:t>
            </w:r>
          </w:p>
        </w:tc>
        <w:tc>
          <w:tcPr>
            <w:tcW w:w="131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EA654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28.9935</w:t>
            </w:r>
          </w:p>
        </w:tc>
        <w:tc>
          <w:tcPr>
            <w:tcW w:w="22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6097F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100.00</w:t>
            </w:r>
          </w:p>
        </w:tc>
        <w:tc>
          <w:tcPr>
            <w:tcW w:w="118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995CD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1"/>
                <w:szCs w:val="21"/>
                <w:lang w:val="en-US" w:eastAsia="zh-CN"/>
              </w:rPr>
              <w:t>国有</w:t>
            </w:r>
          </w:p>
        </w:tc>
      </w:tr>
      <w:tr w14:paraId="43491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8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3D391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合计</w:t>
            </w:r>
          </w:p>
        </w:tc>
        <w:tc>
          <w:tcPr>
            <w:tcW w:w="13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3893F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12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5D01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1.9329</w:t>
            </w:r>
          </w:p>
        </w:tc>
        <w:tc>
          <w:tcPr>
            <w:tcW w:w="131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4ABB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28.9935</w:t>
            </w:r>
          </w:p>
        </w:tc>
        <w:tc>
          <w:tcPr>
            <w:tcW w:w="22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B75CD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100.00</w:t>
            </w:r>
          </w:p>
        </w:tc>
        <w:tc>
          <w:tcPr>
            <w:tcW w:w="118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5DE76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</w:tr>
    </w:tbl>
    <w:p w14:paraId="554E3843">
      <w:pPr>
        <w:keepNext w:val="0"/>
        <w:keepLines w:val="0"/>
        <w:pageBreakBefore w:val="0"/>
        <w:wordWrap/>
        <w:overflowPunct/>
        <w:topLinePunct w:val="0"/>
        <w:bidi w:val="0"/>
        <w:spacing w:before="120" w:beforeLines="50" w:after="120" w:afterLines="50" w:line="560" w:lineRule="exact"/>
        <w:jc w:val="left"/>
        <w:outlineLvl w:val="2"/>
        <w:rPr>
          <w:rFonts w:hint="default" w:ascii="Times New Roman" w:hAnsi="Times New Roman" w:eastAsia="方正仿宋_GBK" w:cs="Times New Roman"/>
          <w:b/>
          <w:bCs/>
          <w:sz w:val="32"/>
          <w:szCs w:val="32"/>
          <w:highlight w:val="none"/>
        </w:rPr>
      </w:pPr>
    </w:p>
    <w:p w14:paraId="5344AEF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outlineLvl w:val="2"/>
        <w:rPr>
          <w:rFonts w:hint="default" w:ascii="方正楷体_GBK" w:hAnsi="方正楷体_GBK" w:eastAsia="方正楷体_GBK" w:cs="方正楷体_GBK"/>
          <w:sz w:val="32"/>
          <w:szCs w:val="32"/>
        </w:rPr>
      </w:pPr>
      <w:bookmarkStart w:id="20" w:name="_Toc82249319"/>
      <w:r>
        <w:rPr>
          <w:rFonts w:hint="default" w:ascii="方正楷体_GBK" w:hAnsi="方正楷体_GBK" w:eastAsia="方正楷体_GBK" w:cs="方正楷体_GBK"/>
          <w:sz w:val="32"/>
          <w:szCs w:val="32"/>
        </w:rPr>
        <w:t>1.2.3土地损毁情况</w:t>
      </w:r>
      <w:bookmarkEnd w:id="20"/>
    </w:p>
    <w:p w14:paraId="363CB5B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outlineLvl w:val="2"/>
        <w:rPr>
          <w:rFonts w:hint="default" w:ascii="方正楷体_GBK" w:hAnsi="方正楷体_GBK" w:eastAsia="方正楷体_GBK" w:cs="方正楷体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napToGrid/>
          <w:color w:val="auto"/>
          <w:kern w:val="0"/>
          <w:sz w:val="32"/>
          <w:szCs w:val="32"/>
          <w:lang w:val="en-US" w:eastAsia="zh-CN" w:bidi="ar-SA"/>
        </w:rPr>
        <w:t>本项目临时用地总面积1.9329hm²，原地类为裸土地，土地损毁成因主要为临时板房搭建、场地硬化及车辆人员碾压，损毁类型为压占损毁，损毁程度属重度。未硬化区域仅为钢筋堆放、机械碾压，属于中度损毁。</w:t>
      </w:r>
    </w:p>
    <w:p w14:paraId="132C4AA7">
      <w:pPr>
        <w:bidi w:val="0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表1-2   土地损毁程度评价标准表</w:t>
      </w:r>
    </w:p>
    <w:tbl>
      <w:tblPr>
        <w:tblStyle w:val="1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74"/>
        <w:gridCol w:w="1853"/>
        <w:gridCol w:w="1355"/>
        <w:gridCol w:w="1286"/>
        <w:gridCol w:w="2003"/>
        <w:gridCol w:w="1609"/>
      </w:tblGrid>
      <w:tr w14:paraId="58D43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53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D3648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损毁程度</w:t>
            </w:r>
          </w:p>
        </w:tc>
        <w:tc>
          <w:tcPr>
            <w:tcW w:w="10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06BDC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地表状况</w:t>
            </w:r>
          </w:p>
        </w:tc>
        <w:tc>
          <w:tcPr>
            <w:tcW w:w="74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F724B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土壤结构</w:t>
            </w:r>
          </w:p>
        </w:tc>
        <w:tc>
          <w:tcPr>
            <w:tcW w:w="70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F838C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损毁类型</w:t>
            </w:r>
          </w:p>
        </w:tc>
        <w:tc>
          <w:tcPr>
            <w:tcW w:w="110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6FE46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典型特征</w:t>
            </w:r>
          </w:p>
        </w:tc>
        <w:tc>
          <w:tcPr>
            <w:tcW w:w="88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92148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可恢复性</w:t>
            </w:r>
          </w:p>
        </w:tc>
      </w:tr>
      <w:tr w14:paraId="2B515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0FE63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轻度损毁</w:t>
            </w:r>
          </w:p>
        </w:tc>
        <w:tc>
          <w:tcPr>
            <w:tcW w:w="10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C2EDD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地表基本完整，无硬化、无压占</w:t>
            </w:r>
          </w:p>
        </w:tc>
        <w:tc>
          <w:tcPr>
            <w:tcW w:w="74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B2B94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土壤结构基本完好</w:t>
            </w:r>
          </w:p>
        </w:tc>
        <w:tc>
          <w:tcPr>
            <w:tcW w:w="70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964A0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轻微碾压、临时通行</w:t>
            </w:r>
          </w:p>
        </w:tc>
        <w:tc>
          <w:tcPr>
            <w:tcW w:w="110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10A54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机械偶尔通行、无长期压占、无硬化</w:t>
            </w:r>
          </w:p>
        </w:tc>
        <w:tc>
          <w:tcPr>
            <w:tcW w:w="88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B6541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极易恢复，简单平整即可</w:t>
            </w:r>
          </w:p>
        </w:tc>
      </w:tr>
      <w:tr w14:paraId="59113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FD71F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中度损毁</w:t>
            </w:r>
          </w:p>
        </w:tc>
        <w:tc>
          <w:tcPr>
            <w:tcW w:w="10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2046A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地表扰动明显，无硬化覆盖</w:t>
            </w:r>
          </w:p>
        </w:tc>
        <w:tc>
          <w:tcPr>
            <w:tcW w:w="74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D658C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土壤板结、孔隙降低</w:t>
            </w:r>
          </w:p>
        </w:tc>
        <w:tc>
          <w:tcPr>
            <w:tcW w:w="70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E990A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长期碾压、材料堆压</w:t>
            </w:r>
          </w:p>
        </w:tc>
        <w:tc>
          <w:tcPr>
            <w:tcW w:w="110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A467E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钢筋临时堆放、机械停放、土壤压实</w:t>
            </w:r>
          </w:p>
        </w:tc>
        <w:tc>
          <w:tcPr>
            <w:tcW w:w="88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BDF9E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较易恢复，深松翻耕即可</w:t>
            </w:r>
          </w:p>
        </w:tc>
      </w:tr>
      <w:tr w14:paraId="73E10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5299C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重度损毁</w:t>
            </w:r>
          </w:p>
        </w:tc>
        <w:tc>
          <w:tcPr>
            <w:tcW w:w="10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69048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地表被硬质材料全面覆盖封闭</w:t>
            </w:r>
          </w:p>
        </w:tc>
        <w:tc>
          <w:tcPr>
            <w:tcW w:w="74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86459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土壤结构完全破坏、有效土层丧失</w:t>
            </w:r>
          </w:p>
        </w:tc>
        <w:tc>
          <w:tcPr>
            <w:tcW w:w="70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D6AD6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混凝土 / 沥青硬化压占</w:t>
            </w:r>
          </w:p>
        </w:tc>
        <w:tc>
          <w:tcPr>
            <w:tcW w:w="110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986B0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全场硬化、地表完全封闭、必须破除硬化</w:t>
            </w:r>
          </w:p>
        </w:tc>
        <w:tc>
          <w:tcPr>
            <w:tcW w:w="88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3B79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恢复难度大，需破除 + 清运 + 平整 + 改良</w:t>
            </w:r>
          </w:p>
        </w:tc>
      </w:tr>
    </w:tbl>
    <w:p w14:paraId="7EBE4228">
      <w:pPr>
        <w:bidi w:val="0"/>
        <w:rPr>
          <w:rFonts w:hint="eastAsia" w:ascii="Times New Roman" w:hAnsi="Times New Roman" w:eastAsia="方正仿宋_GBK" w:cs="Times New Roman"/>
          <w:snapToGrid/>
          <w:color w:val="auto"/>
          <w:kern w:val="0"/>
          <w:sz w:val="32"/>
          <w:szCs w:val="32"/>
          <w:lang w:val="en-US" w:eastAsia="zh-CN" w:bidi="ar-SA"/>
        </w:rPr>
      </w:pPr>
    </w:p>
    <w:p w14:paraId="34BC91E2">
      <w:pPr>
        <w:bidi w:val="0"/>
        <w:rPr>
          <w:rFonts w:hint="eastAsia" w:ascii="Times New Roman" w:hAnsi="Times New Roman" w:eastAsia="方正仿宋_GBK" w:cs="Times New Roman"/>
          <w:snapToGrid/>
          <w:color w:val="auto"/>
          <w:kern w:val="0"/>
          <w:sz w:val="32"/>
          <w:szCs w:val="32"/>
          <w:lang w:val="en-US" w:eastAsia="zh-CN" w:bidi="ar-SA"/>
        </w:rPr>
      </w:pPr>
    </w:p>
    <w:p w14:paraId="42AC2F1B">
      <w:pPr>
        <w:bidi w:val="0"/>
        <w:rPr>
          <w:rFonts w:hint="eastAsia" w:ascii="Times New Roman" w:hAnsi="Times New Roman" w:eastAsia="方正仿宋_GBK" w:cs="Times New Roman"/>
          <w:snapToGrid/>
          <w:color w:val="auto"/>
          <w:kern w:val="0"/>
          <w:sz w:val="32"/>
          <w:szCs w:val="32"/>
          <w:lang w:val="en-US" w:eastAsia="zh-CN" w:bidi="ar-SA"/>
        </w:rPr>
      </w:pPr>
    </w:p>
    <w:p w14:paraId="1AB418AC">
      <w:pPr>
        <w:bidi w:val="0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表1-</w:t>
      </w:r>
      <w:r>
        <w:rPr>
          <w:rFonts w:hint="eastAsia" w:ascii="仿宋" w:hAnsi="仿宋" w:cs="仿宋"/>
          <w:lang w:val="en-US" w:eastAsia="zh-CN"/>
        </w:rPr>
        <w:t>3</w:t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  <w:r>
        <w:rPr>
          <w:rFonts w:hint="eastAsia" w:ascii="仿宋" w:hAnsi="仿宋" w:eastAsia="仿宋" w:cs="仿宋"/>
        </w:rPr>
        <w:t>土地损毁情况统计表</w:t>
      </w:r>
    </w:p>
    <w:tbl>
      <w:tblPr>
        <w:tblStyle w:val="12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5"/>
        <w:gridCol w:w="874"/>
        <w:gridCol w:w="874"/>
        <w:gridCol w:w="725"/>
        <w:gridCol w:w="943"/>
        <w:gridCol w:w="661"/>
        <w:gridCol w:w="983"/>
        <w:gridCol w:w="2148"/>
        <w:gridCol w:w="1406"/>
      </w:tblGrid>
      <w:tr w14:paraId="284D6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25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6ED36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48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161A5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损毁地块编号</w:t>
            </w:r>
          </w:p>
        </w:tc>
        <w:tc>
          <w:tcPr>
            <w:tcW w:w="48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48EFB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原地类名称</w:t>
            </w:r>
          </w:p>
        </w:tc>
        <w:tc>
          <w:tcPr>
            <w:tcW w:w="39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DA042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地类编码</w:t>
            </w:r>
          </w:p>
        </w:tc>
        <w:tc>
          <w:tcPr>
            <w:tcW w:w="51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DFBF2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主要损毁类型</w:t>
            </w:r>
          </w:p>
        </w:tc>
        <w:tc>
          <w:tcPr>
            <w:tcW w:w="36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60AB4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损毁程度</w:t>
            </w:r>
          </w:p>
        </w:tc>
        <w:tc>
          <w:tcPr>
            <w:tcW w:w="54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37181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损毁面积</w:t>
            </w:r>
          </w:p>
          <w:p w14:paraId="498AB4B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(hm²)</w:t>
            </w:r>
          </w:p>
        </w:tc>
        <w:tc>
          <w:tcPr>
            <w:tcW w:w="118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76C05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损毁主要表现</w:t>
            </w:r>
          </w:p>
        </w:tc>
        <w:tc>
          <w:tcPr>
            <w:tcW w:w="77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21C67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复垦去向</w:t>
            </w:r>
          </w:p>
        </w:tc>
      </w:tr>
      <w:tr w14:paraId="14514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5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0C444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8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106B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地块 1</w:t>
            </w:r>
          </w:p>
        </w:tc>
        <w:tc>
          <w:tcPr>
            <w:tcW w:w="48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21C91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裸土地</w:t>
            </w:r>
          </w:p>
        </w:tc>
        <w:tc>
          <w:tcPr>
            <w:tcW w:w="39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02ECF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1204</w:t>
            </w:r>
          </w:p>
        </w:tc>
        <w:tc>
          <w:tcPr>
            <w:tcW w:w="51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4C5D7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硬化压占损毁</w:t>
            </w:r>
          </w:p>
        </w:tc>
        <w:tc>
          <w:tcPr>
            <w:tcW w:w="36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8EE28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重度</w:t>
            </w:r>
          </w:p>
        </w:tc>
        <w:tc>
          <w:tcPr>
            <w:tcW w:w="54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F63AB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0.0850</w:t>
            </w:r>
          </w:p>
        </w:tc>
        <w:tc>
          <w:tcPr>
            <w:tcW w:w="118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E257C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混凝土硬化全覆盖、地表封闭、土壤结构完全破坏、机械长期碾压</w:t>
            </w:r>
          </w:p>
        </w:tc>
        <w:tc>
          <w:tcPr>
            <w:tcW w:w="77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194E7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恢复为裸土地</w:t>
            </w:r>
          </w:p>
        </w:tc>
      </w:tr>
      <w:tr w14:paraId="57239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5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06666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8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3FA53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地块 2</w:t>
            </w:r>
          </w:p>
        </w:tc>
        <w:tc>
          <w:tcPr>
            <w:tcW w:w="48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34591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裸土地</w:t>
            </w:r>
          </w:p>
        </w:tc>
        <w:tc>
          <w:tcPr>
            <w:tcW w:w="39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4260C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1204</w:t>
            </w:r>
          </w:p>
        </w:tc>
        <w:tc>
          <w:tcPr>
            <w:tcW w:w="51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9BF50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压占损毁、机械碾压</w:t>
            </w:r>
          </w:p>
        </w:tc>
        <w:tc>
          <w:tcPr>
            <w:tcW w:w="36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00E37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中度</w:t>
            </w:r>
          </w:p>
        </w:tc>
        <w:tc>
          <w:tcPr>
            <w:tcW w:w="54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88798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1.8479</w:t>
            </w:r>
          </w:p>
        </w:tc>
        <w:tc>
          <w:tcPr>
            <w:tcW w:w="118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5375E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钢筋原材料 / 成品堆放、机械停放、土壤板结、地表扰动</w:t>
            </w:r>
          </w:p>
        </w:tc>
        <w:tc>
          <w:tcPr>
            <w:tcW w:w="77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8E5E9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恢复为裸土地</w:t>
            </w:r>
          </w:p>
        </w:tc>
      </w:tr>
      <w:tr w14:paraId="4A0D0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5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52B59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—</w:t>
            </w:r>
          </w:p>
        </w:tc>
        <w:tc>
          <w:tcPr>
            <w:tcW w:w="48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B395B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合计</w:t>
            </w:r>
          </w:p>
        </w:tc>
        <w:tc>
          <w:tcPr>
            <w:tcW w:w="48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A05B3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—</w:t>
            </w:r>
          </w:p>
        </w:tc>
        <w:tc>
          <w:tcPr>
            <w:tcW w:w="39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25BE4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—</w:t>
            </w:r>
          </w:p>
        </w:tc>
        <w:tc>
          <w:tcPr>
            <w:tcW w:w="51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02409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—</w:t>
            </w:r>
          </w:p>
        </w:tc>
        <w:tc>
          <w:tcPr>
            <w:tcW w:w="36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A195B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—</w:t>
            </w:r>
          </w:p>
        </w:tc>
        <w:tc>
          <w:tcPr>
            <w:tcW w:w="54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E6B8A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1.9329</w:t>
            </w:r>
          </w:p>
        </w:tc>
        <w:tc>
          <w:tcPr>
            <w:tcW w:w="118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4092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—</w:t>
            </w:r>
          </w:p>
        </w:tc>
        <w:tc>
          <w:tcPr>
            <w:tcW w:w="77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78787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—</w:t>
            </w:r>
          </w:p>
        </w:tc>
      </w:tr>
    </w:tbl>
    <w:p w14:paraId="09C19E3D">
      <w:pPr>
        <w:bidi w:val="0"/>
        <w:jc w:val="center"/>
        <w:rPr>
          <w:rFonts w:hint="eastAsia" w:ascii="仿宋" w:hAnsi="仿宋" w:eastAsia="仿宋" w:cs="仿宋"/>
        </w:rPr>
      </w:pPr>
    </w:p>
    <w:p w14:paraId="0F723F6D">
      <w:pPr>
        <w:bidi w:val="0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表1-4 复垦责任范围土地损毁情况表</w:t>
      </w:r>
    </w:p>
    <w:tbl>
      <w:tblPr>
        <w:tblStyle w:val="12"/>
        <w:tblW w:w="91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6"/>
        <w:gridCol w:w="1426"/>
        <w:gridCol w:w="1567"/>
        <w:gridCol w:w="1426"/>
        <w:gridCol w:w="1852"/>
      </w:tblGrid>
      <w:tr w14:paraId="56860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tblHeader/>
          <w:jc w:val="center"/>
        </w:trPr>
        <w:tc>
          <w:tcPr>
            <w:tcW w:w="0" w:type="auto"/>
            <w:vAlign w:val="center"/>
          </w:tcPr>
          <w:p w14:paraId="22060B9D">
            <w:pPr>
              <w:widowControl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lang w:val="en-US" w:eastAsia="zh-CN" w:bidi="ar-SA"/>
              </w:rPr>
              <w:t>评价单元</w:t>
            </w:r>
          </w:p>
        </w:tc>
        <w:tc>
          <w:tcPr>
            <w:tcW w:w="0" w:type="auto"/>
            <w:vAlign w:val="center"/>
          </w:tcPr>
          <w:p w14:paraId="34613526">
            <w:pPr>
              <w:widowControl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lang w:val="en-US" w:eastAsia="zh-CN" w:bidi="ar-SA"/>
              </w:rPr>
              <w:t>土地类型</w:t>
            </w:r>
          </w:p>
        </w:tc>
        <w:tc>
          <w:tcPr>
            <w:tcW w:w="0" w:type="auto"/>
            <w:vAlign w:val="center"/>
          </w:tcPr>
          <w:p w14:paraId="54BBC68B">
            <w:pPr>
              <w:widowControl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lang w:val="en-US" w:eastAsia="zh-CN" w:bidi="ar-SA"/>
              </w:rPr>
              <w:t>损毁方式</w:t>
            </w:r>
          </w:p>
        </w:tc>
        <w:tc>
          <w:tcPr>
            <w:tcW w:w="0" w:type="auto"/>
            <w:vAlign w:val="center"/>
          </w:tcPr>
          <w:p w14:paraId="43E4BD87">
            <w:pPr>
              <w:widowControl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lang w:val="en-US" w:eastAsia="zh-CN" w:bidi="ar-SA"/>
              </w:rPr>
              <w:t>损毁程度</w:t>
            </w:r>
          </w:p>
        </w:tc>
        <w:tc>
          <w:tcPr>
            <w:tcW w:w="1852" w:type="dxa"/>
            <w:vAlign w:val="center"/>
          </w:tcPr>
          <w:p w14:paraId="2C790104">
            <w:pPr>
              <w:widowControl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lang w:val="en-US" w:eastAsia="zh-CN" w:bidi="ar-SA"/>
              </w:rPr>
              <w:t>损毁面积hm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superscript"/>
                <w:lang w:val="en-US" w:eastAsia="zh-CN" w:bidi="ar-SA"/>
              </w:rPr>
              <w:t>2</w:t>
            </w:r>
          </w:p>
        </w:tc>
      </w:tr>
      <w:tr w14:paraId="418BA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0" w:type="auto"/>
            <w:vAlign w:val="center"/>
          </w:tcPr>
          <w:p w14:paraId="56236E0D">
            <w:pPr>
              <w:widowControl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/>
                <w:sz w:val="21"/>
                <w:szCs w:val="21"/>
                <w:lang w:val="en-US" w:eastAsia="zh-CN"/>
              </w:rPr>
              <w:t>硬化</w:t>
            </w:r>
          </w:p>
        </w:tc>
        <w:tc>
          <w:tcPr>
            <w:tcW w:w="0" w:type="auto"/>
            <w:vAlign w:val="center"/>
          </w:tcPr>
          <w:p w14:paraId="07F89C7B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裸土地</w:t>
            </w:r>
          </w:p>
        </w:tc>
        <w:tc>
          <w:tcPr>
            <w:tcW w:w="0" w:type="auto"/>
            <w:vAlign w:val="center"/>
          </w:tcPr>
          <w:p w14:paraId="350926F2">
            <w:pPr>
              <w:widowControl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压占</w:t>
            </w:r>
          </w:p>
        </w:tc>
        <w:tc>
          <w:tcPr>
            <w:tcW w:w="0" w:type="auto"/>
            <w:vAlign w:val="center"/>
          </w:tcPr>
          <w:p w14:paraId="14B50E47">
            <w:pPr>
              <w:widowControl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/>
                <w:sz w:val="21"/>
                <w:szCs w:val="21"/>
                <w:lang w:val="en-US" w:eastAsia="zh-CN"/>
              </w:rPr>
              <w:t>重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度</w:t>
            </w:r>
          </w:p>
        </w:tc>
        <w:tc>
          <w:tcPr>
            <w:tcW w:w="1852" w:type="dxa"/>
            <w:vAlign w:val="center"/>
          </w:tcPr>
          <w:p w14:paraId="383904D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0.0850</w:t>
            </w:r>
          </w:p>
        </w:tc>
      </w:tr>
      <w:tr w14:paraId="4797A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0" w:type="auto"/>
            <w:vAlign w:val="center"/>
          </w:tcPr>
          <w:p w14:paraId="6444F5B2">
            <w:pPr>
              <w:widowControl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/>
                <w:sz w:val="21"/>
                <w:szCs w:val="21"/>
                <w:lang w:val="en-US" w:eastAsia="zh-CN"/>
              </w:rPr>
              <w:t>材料堆放、机械停放</w:t>
            </w:r>
          </w:p>
        </w:tc>
        <w:tc>
          <w:tcPr>
            <w:tcW w:w="0" w:type="auto"/>
            <w:vAlign w:val="center"/>
          </w:tcPr>
          <w:p w14:paraId="2E5FD873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裸土地</w:t>
            </w:r>
          </w:p>
        </w:tc>
        <w:tc>
          <w:tcPr>
            <w:tcW w:w="0" w:type="auto"/>
            <w:vAlign w:val="center"/>
          </w:tcPr>
          <w:p w14:paraId="4B7138E9">
            <w:pPr>
              <w:widowControl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压占</w:t>
            </w:r>
          </w:p>
        </w:tc>
        <w:tc>
          <w:tcPr>
            <w:tcW w:w="0" w:type="auto"/>
            <w:vAlign w:val="center"/>
          </w:tcPr>
          <w:p w14:paraId="6442B509">
            <w:pPr>
              <w:widowControl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中度</w:t>
            </w:r>
          </w:p>
        </w:tc>
        <w:tc>
          <w:tcPr>
            <w:tcW w:w="1852" w:type="dxa"/>
            <w:vAlign w:val="center"/>
          </w:tcPr>
          <w:p w14:paraId="6D6D6C5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1.8479</w:t>
            </w:r>
          </w:p>
        </w:tc>
      </w:tr>
      <w:tr w14:paraId="48018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2846" w:type="dxa"/>
            <w:vAlign w:val="center"/>
          </w:tcPr>
          <w:p w14:paraId="4783112C">
            <w:pPr>
              <w:widowControl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1426" w:type="dxa"/>
            <w:vAlign w:val="center"/>
          </w:tcPr>
          <w:p w14:paraId="7B1E01DD">
            <w:pPr>
              <w:widowControl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—</w:t>
            </w:r>
          </w:p>
        </w:tc>
        <w:tc>
          <w:tcPr>
            <w:tcW w:w="1567" w:type="dxa"/>
            <w:vAlign w:val="center"/>
          </w:tcPr>
          <w:p w14:paraId="31C24C10">
            <w:pPr>
              <w:widowControl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—</w:t>
            </w:r>
          </w:p>
        </w:tc>
        <w:tc>
          <w:tcPr>
            <w:tcW w:w="1426" w:type="dxa"/>
            <w:vAlign w:val="center"/>
          </w:tcPr>
          <w:p w14:paraId="0245E5D4">
            <w:pPr>
              <w:widowControl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—</w:t>
            </w:r>
          </w:p>
        </w:tc>
        <w:tc>
          <w:tcPr>
            <w:tcW w:w="1852" w:type="dxa"/>
            <w:vAlign w:val="center"/>
          </w:tcPr>
          <w:p w14:paraId="173F405B">
            <w:pPr>
              <w:widowControl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1.9329</w:t>
            </w:r>
          </w:p>
        </w:tc>
      </w:tr>
    </w:tbl>
    <w:p w14:paraId="7287D34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Times New Roman" w:hAnsi="Times New Roman" w:eastAsia="黑体" w:cs="Times New Roman"/>
          <w:lang w:eastAsia="zh-CN"/>
        </w:rPr>
      </w:pPr>
      <w:r>
        <w:rPr>
          <w:rFonts w:hint="eastAsia" w:ascii="Times New Roman" w:hAnsi="Times New Roman" w:eastAsia="黑体" w:cs="Times New Roman"/>
          <w:sz w:val="30"/>
          <w:szCs w:val="30"/>
          <w:lang w:eastAsia="zh-CN"/>
        </w:rPr>
        <w:t xml:space="preserve"> </w:t>
      </w:r>
    </w:p>
    <w:p w14:paraId="2A7C584B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pacing w:line="560" w:lineRule="exact"/>
        <w:ind w:firstLine="640" w:firstLineChars="200"/>
        <w:jc w:val="left"/>
        <w:rPr>
          <w:rFonts w:hint="default" w:ascii="Times New Roman" w:hAnsi="Times New Roman" w:eastAsia="方正黑体_GBK" w:cs="Times New Roman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1.2.4土地复垦目标</w:t>
      </w:r>
    </w:p>
    <w:p w14:paraId="0C94DA6E">
      <w:pPr>
        <w:bidi w:val="0"/>
        <w:ind w:firstLine="640" w:firstLineChars="200"/>
        <w:rPr>
          <w:rFonts w:hint="eastAsia" w:ascii="Times New Roman" w:hAnsi="Times New Roman" w:eastAsia="方正仿宋_GBK" w:cs="Times New Roman"/>
          <w:snapToGrid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napToGrid/>
          <w:color w:val="auto"/>
          <w:kern w:val="0"/>
          <w:sz w:val="32"/>
          <w:szCs w:val="32"/>
          <w:lang w:val="en-US" w:eastAsia="zh-CN" w:bidi="ar-SA"/>
        </w:rPr>
        <w:t>本项目通过采取预防控制和工程技术措施，预防控制损毁土地面积，并对损毁土地进行复垦。根据复垦适宜性评价结果，确定临时用地复垦时按原土地利用类型恢复。同时，复垦后地类结合实地调查予以修正，以修正后的现状进行复垦单元划定、适宜性分析评价、水土平衡分析、复垦标准确定、复垦措施设计及复垦工程量统计等，确保土地占用前后地表植被、地形地貌等的一致性。本项目损毁土地面积共计1.9329hm²，拟复垦土地面积1.9329hm²，无已复垦土地，土地复垦率为100%。</w:t>
      </w:r>
    </w:p>
    <w:p w14:paraId="0DDC2D8C">
      <w:pPr>
        <w:bidi w:val="0"/>
        <w:jc w:val="center"/>
        <w:rPr>
          <w:rFonts w:hint="eastAsia"/>
          <w:lang w:val="en-US" w:eastAsia="zh-CN"/>
        </w:rPr>
      </w:pPr>
    </w:p>
    <w:p w14:paraId="0C40FDC0">
      <w:pPr>
        <w:bidi w:val="0"/>
        <w:jc w:val="center"/>
        <w:rPr>
          <w:rFonts w:hint="eastAsia"/>
          <w:lang w:val="en-US" w:eastAsia="zh-CN"/>
        </w:rPr>
      </w:pPr>
    </w:p>
    <w:p w14:paraId="0F9E1296">
      <w:pPr>
        <w:bidi w:val="0"/>
        <w:jc w:val="center"/>
        <w:rPr>
          <w:rFonts w:hint="eastAsia"/>
          <w:lang w:val="en-US" w:eastAsia="zh-CN"/>
        </w:rPr>
      </w:pPr>
    </w:p>
    <w:p w14:paraId="7A671149">
      <w:pPr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表1-5 复垦前后土地利用结构调整表</w:t>
      </w:r>
    </w:p>
    <w:p w14:paraId="65AD5E3B">
      <w:pPr>
        <w:bidi w:val="0"/>
        <w:jc w:val="center"/>
        <w:rPr>
          <w:rFonts w:hint="eastAsia"/>
          <w:lang w:val="en-US" w:eastAsia="zh-CN"/>
        </w:rPr>
      </w:pP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9"/>
        <w:gridCol w:w="816"/>
        <w:gridCol w:w="1127"/>
        <w:gridCol w:w="1330"/>
        <w:gridCol w:w="1127"/>
        <w:gridCol w:w="1334"/>
        <w:gridCol w:w="1127"/>
        <w:gridCol w:w="1254"/>
      </w:tblGrid>
      <w:tr w14:paraId="50193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666DF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地类编码</w:t>
            </w:r>
          </w:p>
        </w:tc>
        <w:tc>
          <w:tcPr>
            <w:tcW w:w="4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0118DB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地类名称</w:t>
            </w:r>
          </w:p>
        </w:tc>
        <w:tc>
          <w:tcPr>
            <w:tcW w:w="1352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2B27AD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复垦前</w:t>
            </w:r>
          </w:p>
        </w:tc>
        <w:tc>
          <w:tcPr>
            <w:tcW w:w="1354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1505FC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复垦后</w:t>
            </w:r>
          </w:p>
        </w:tc>
        <w:tc>
          <w:tcPr>
            <w:tcW w:w="1310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1ED1C9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变幅</w:t>
            </w:r>
          </w:p>
        </w:tc>
      </w:tr>
      <w:tr w14:paraId="2D50D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9E8CFD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DE4B44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33D38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面积</w:t>
            </w:r>
          </w:p>
          <w:p w14:paraId="380A19C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（公顷）</w:t>
            </w:r>
          </w:p>
        </w:tc>
        <w:tc>
          <w:tcPr>
            <w:tcW w:w="73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8AFC6B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占总面积比例</w:t>
            </w:r>
          </w:p>
          <w:p w14:paraId="0F4446B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（%）</w:t>
            </w:r>
          </w:p>
        </w:tc>
        <w:tc>
          <w:tcPr>
            <w:tcW w:w="6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9FC55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面积</w:t>
            </w:r>
          </w:p>
          <w:p w14:paraId="42C82E4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（公顷）</w:t>
            </w:r>
          </w:p>
        </w:tc>
        <w:tc>
          <w:tcPr>
            <w:tcW w:w="73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E260EB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占总面积比例</w:t>
            </w:r>
          </w:p>
          <w:p w14:paraId="5DC1320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（%）</w:t>
            </w:r>
          </w:p>
        </w:tc>
        <w:tc>
          <w:tcPr>
            <w:tcW w:w="6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50953B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面积</w:t>
            </w:r>
          </w:p>
          <w:p w14:paraId="139BC8E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（公顷）</w:t>
            </w:r>
          </w:p>
        </w:tc>
        <w:tc>
          <w:tcPr>
            <w:tcW w:w="69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FFDE6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占总面积比例</w:t>
            </w:r>
          </w:p>
          <w:p w14:paraId="477F2824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（%）</w:t>
            </w:r>
          </w:p>
        </w:tc>
      </w:tr>
      <w:tr w14:paraId="291F7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2A2D25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4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8CC25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其他土地</w:t>
            </w:r>
          </w:p>
        </w:tc>
        <w:tc>
          <w:tcPr>
            <w:tcW w:w="6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3733E9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1.9329</w:t>
            </w:r>
          </w:p>
        </w:tc>
        <w:tc>
          <w:tcPr>
            <w:tcW w:w="73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E5D22D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100.00</w:t>
            </w:r>
          </w:p>
        </w:tc>
        <w:tc>
          <w:tcPr>
            <w:tcW w:w="6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D3358B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1.9329</w:t>
            </w:r>
          </w:p>
        </w:tc>
        <w:tc>
          <w:tcPr>
            <w:tcW w:w="73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BFC90B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100.00</w:t>
            </w:r>
          </w:p>
        </w:tc>
        <w:tc>
          <w:tcPr>
            <w:tcW w:w="6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6A770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0.0000</w:t>
            </w:r>
          </w:p>
        </w:tc>
        <w:tc>
          <w:tcPr>
            <w:tcW w:w="69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2C3BB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0.00</w:t>
            </w:r>
          </w:p>
        </w:tc>
      </w:tr>
      <w:tr w14:paraId="747A7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1C7F9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1204</w:t>
            </w:r>
          </w:p>
        </w:tc>
        <w:tc>
          <w:tcPr>
            <w:tcW w:w="4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96187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裸土地</w:t>
            </w:r>
          </w:p>
        </w:tc>
        <w:tc>
          <w:tcPr>
            <w:tcW w:w="6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7C2AB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1.9329</w:t>
            </w:r>
          </w:p>
        </w:tc>
        <w:tc>
          <w:tcPr>
            <w:tcW w:w="73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54BD5A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100.00</w:t>
            </w:r>
          </w:p>
        </w:tc>
        <w:tc>
          <w:tcPr>
            <w:tcW w:w="6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B8A0AB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1.9329</w:t>
            </w:r>
          </w:p>
        </w:tc>
        <w:tc>
          <w:tcPr>
            <w:tcW w:w="73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2E702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100.00</w:t>
            </w:r>
          </w:p>
        </w:tc>
        <w:tc>
          <w:tcPr>
            <w:tcW w:w="6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647465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0.0000</w:t>
            </w:r>
          </w:p>
        </w:tc>
        <w:tc>
          <w:tcPr>
            <w:tcW w:w="69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7BB0B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0.00</w:t>
            </w:r>
          </w:p>
        </w:tc>
      </w:tr>
      <w:tr w14:paraId="2EA24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3B4EC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合计</w:t>
            </w:r>
          </w:p>
        </w:tc>
        <w:tc>
          <w:tcPr>
            <w:tcW w:w="4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4F2CA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6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10EEE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1.9329</w:t>
            </w:r>
          </w:p>
        </w:tc>
        <w:tc>
          <w:tcPr>
            <w:tcW w:w="73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9B517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100.00</w:t>
            </w:r>
          </w:p>
        </w:tc>
        <w:tc>
          <w:tcPr>
            <w:tcW w:w="6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D3EC6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1.9329</w:t>
            </w:r>
          </w:p>
        </w:tc>
        <w:tc>
          <w:tcPr>
            <w:tcW w:w="73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20C8F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100.00</w:t>
            </w:r>
          </w:p>
        </w:tc>
        <w:tc>
          <w:tcPr>
            <w:tcW w:w="6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819189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0.0000</w:t>
            </w:r>
          </w:p>
        </w:tc>
        <w:tc>
          <w:tcPr>
            <w:tcW w:w="69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6DB734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Style w:val="14"/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0.00</w:t>
            </w:r>
          </w:p>
        </w:tc>
      </w:tr>
    </w:tbl>
    <w:p w14:paraId="552EE334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pacing w:line="560" w:lineRule="exact"/>
        <w:jc w:val="left"/>
        <w:rPr>
          <w:rFonts w:hint="default" w:ascii="Times New Roman" w:hAnsi="Times New Roman" w:eastAsia="方正仿宋_GBK" w:cs="Times New Roman"/>
          <w:b/>
          <w:sz w:val="32"/>
          <w:szCs w:val="32"/>
          <w:lang w:val="en-US" w:eastAsia="zh-CN"/>
        </w:rPr>
      </w:pPr>
    </w:p>
    <w:p w14:paraId="733B43E8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pacing w:line="560" w:lineRule="exact"/>
        <w:ind w:firstLine="640" w:firstLineChars="200"/>
        <w:jc w:val="left"/>
        <w:rPr>
          <w:rFonts w:hint="default" w:ascii="Times New Roman" w:hAnsi="Times New Roman" w:eastAsia="方正黑体_GBK" w:cs="Times New Roman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1.2.5复垦的投资情况</w:t>
      </w:r>
    </w:p>
    <w:p w14:paraId="0CB2AC54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napToGrid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napToGrid/>
          <w:color w:val="auto"/>
          <w:kern w:val="0"/>
          <w:sz w:val="32"/>
          <w:szCs w:val="32"/>
          <w:lang w:val="en-US" w:eastAsia="zh-CN" w:bidi="ar-SA"/>
        </w:rPr>
        <w:t>本项目复垦总面积 1.9329 公顷（28.9935 亩），估算静态总投资11.03 万元，动态总投资11.03 万元，单位面积投资5.71 万元 / 公顷（3804.30 元 / 亩）。</w:t>
      </w:r>
    </w:p>
    <w:p w14:paraId="1E0D8211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jc w:val="left"/>
        <w:rPr>
          <w:rFonts w:hint="default" w:ascii="Times New Roman" w:hAnsi="Times New Roman" w:eastAsia="方正黑体_GBK" w:cs="Times New Roman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三、征询公众意见内容</w:t>
      </w:r>
    </w:p>
    <w:p w14:paraId="461DE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1.土地损毁面积是否符合实际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批复面积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。</w:t>
      </w:r>
    </w:p>
    <w:p w14:paraId="19ED4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临时用地办理期间是否对牧民草场进行合理补偿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。</w:t>
      </w:r>
    </w:p>
    <w:p w14:paraId="7D55F8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  <w:lang w:val="en-US" w:eastAsia="zh-CN"/>
        </w:rPr>
        <w:t>生产年限到期没有进行复垦的向自然资源局举报。</w:t>
      </w:r>
    </w:p>
    <w:p w14:paraId="75A483A8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rPr>
          <w:rFonts w:hint="default" w:ascii="Times New Roman" w:hAnsi="Times New Roman" w:eastAsia="方正黑体_GBK" w:cs="Times New Roman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四、公示说明</w:t>
      </w:r>
    </w:p>
    <w:p w14:paraId="452EF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000000"/>
          <w:spacing w:val="0"/>
          <w:sz w:val="32"/>
          <w:szCs w:val="32"/>
          <w:lang w:eastAsia="zh-CN"/>
        </w:rPr>
        <w:t>1.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  <w:highlight w:val="none"/>
        </w:rPr>
        <w:t>公示时间为202</w:t>
      </w:r>
      <w:r>
        <w:rPr>
          <w:rFonts w:hint="eastAsia" w:ascii="Times New Roman" w:hAnsi="Times New Roman" w:eastAsia="方正仿宋_GBK" w:cs="Times New Roman"/>
          <w:color w:val="000000"/>
          <w:spacing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_GBK" w:cs="Times New Roman"/>
          <w:color w:val="000000"/>
          <w:spacing w:val="0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color w:val="000000"/>
          <w:spacing w:val="0"/>
          <w:sz w:val="32"/>
          <w:szCs w:val="32"/>
          <w:highlight w:val="none"/>
          <w:lang w:val="en-US" w:eastAsia="zh-CN"/>
        </w:rPr>
        <w:t>27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  <w:highlight w:val="none"/>
        </w:rPr>
        <w:t>日—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color w:val="000000"/>
          <w:spacing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color w:val="000000"/>
          <w:spacing w:val="0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color w:val="000000"/>
          <w:spacing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  <w:highlight w:val="none"/>
        </w:rPr>
        <w:t>日。</w:t>
      </w:r>
    </w:p>
    <w:p w14:paraId="435D67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Times New Roman"/>
          <w:color w:val="000000"/>
          <w:spacing w:val="0"/>
          <w:sz w:val="32"/>
          <w:szCs w:val="32"/>
          <w:highlight w:val="none"/>
          <w:lang w:eastAsia="zh-CN"/>
        </w:rPr>
        <w:t>2.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  <w:highlight w:val="none"/>
        </w:rPr>
        <w:t>本次公众意见可通过信函、传真等书面形式与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  <w:highlight w:val="none"/>
          <w:lang w:val="en-US" w:eastAsia="zh-CN"/>
        </w:rPr>
        <w:t>自然资源局联系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  <w:highlight w:val="none"/>
        </w:rPr>
        <w:t>。</w:t>
      </w:r>
    </w:p>
    <w:p w14:paraId="672E5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eastAsia="zh-CN"/>
        </w:rPr>
        <w:t>地址：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和静县建设路988号自然资源局</w:t>
      </w:r>
    </w:p>
    <w:p w14:paraId="0394CD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eastAsia="zh-CN"/>
        </w:rPr>
        <w:t>联系人：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王百虎</w:t>
      </w:r>
    </w:p>
    <w:p w14:paraId="4A3F2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eastAsia="zh-CN"/>
        </w:rPr>
        <w:t>固定电话：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0996-5025378、5025815</w:t>
      </w:r>
    </w:p>
    <w:p w14:paraId="6A738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</w:pPr>
    </w:p>
    <w:p w14:paraId="31EFB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left"/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</w:pPr>
    </w:p>
    <w:p w14:paraId="7C9BF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left"/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</w:pPr>
    </w:p>
    <w:p w14:paraId="36DB5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80" w:firstLineChars="1900"/>
        <w:jc w:val="left"/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和静县自然资源局</w:t>
      </w:r>
    </w:p>
    <w:p w14:paraId="16B66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80" w:firstLineChars="1900"/>
        <w:jc w:val="left"/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27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日</w:t>
      </w:r>
    </w:p>
    <w:p w14:paraId="37B7D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80" w:firstLineChars="19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yellow"/>
          <w:lang w:val="en-US" w:eastAsia="zh-CN"/>
        </w:rPr>
      </w:pPr>
    </w:p>
    <w:p w14:paraId="0878C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716A4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FFF2AE4">
      <w:pPr>
        <w:pStyle w:val="15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DC87AFA">
      <w:pPr>
        <w:pStyle w:val="15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5D4C6141">
      <w:pPr>
        <w:pStyle w:val="15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496AECAC">
      <w:pPr>
        <w:pStyle w:val="15"/>
        <w:ind w:left="0" w:leftChars="0"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38EFFFD3">
      <w:pPr>
        <w:pStyle w:val="15"/>
        <w:ind w:left="0" w:leftChars="0"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29F4B0FE">
      <w:pPr>
        <w:pStyle w:val="15"/>
        <w:ind w:left="0" w:leftChars="0"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72DA3AC">
      <w:pPr>
        <w:pStyle w:val="15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506E7C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jc w:val="lef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7F983676">
      <w:pPr>
        <w:pStyle w:val="15"/>
        <w:rPr>
          <w:rFonts w:hint="default"/>
          <w:lang w:val="en-US" w:eastAsia="zh-CN"/>
        </w:rPr>
      </w:pPr>
    </w:p>
    <w:p w14:paraId="395F384D">
      <w:pPr>
        <w:spacing w:line="480" w:lineRule="exact"/>
        <w:ind w:right="-454" w:rightChars="-216" w:firstLine="210" w:firstLineChars="100"/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17145</wp:posOffset>
                </wp:positionV>
                <wp:extent cx="5615940" cy="0"/>
                <wp:effectExtent l="0" t="4445" r="0" b="5080"/>
                <wp:wrapNone/>
                <wp:docPr id="2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-9pt;margin-top:1.35pt;height:0pt;width:442.2pt;z-index:251660288;mso-width-relative:page;mso-height-relative:page;" filled="f" stroked="t" coordsize="21600,21600" o:gfxdata="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/3m9b1QAAAAcBAAAPAAAA&#10;AAAAAAEAIAAAACIAAABkcnMvZG93bnJldi54bWxQSwECFAAUAAAACACHTuJAX7EfX98BAADPAwAA&#10;DgAAAAAAAAABACAAAAAkAQAAZHJzL2Uyb0RvYy54bWxQSwUGAAAAAAYABgBZAQAAd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_GBK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301625</wp:posOffset>
                </wp:positionV>
                <wp:extent cx="5615940" cy="0"/>
                <wp:effectExtent l="0" t="4445" r="0" b="5080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-9pt;margin-top:23.75pt;height:0pt;width:442.2pt;z-index:251659264;mso-width-relative:page;mso-height-relative:page;" filled="f" stroked="t" coordsize="21600,21600" o:gfxdata="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N8enCDYAAAACQEAAA8AAAAAAAAAAQAgAAAA&#10;IgAAAGRycy9kb3ducmV2LnhtbFBLAQIUABQAAAAIAIdO4kDh2LmZ0gEAAM0DAAAOAAAAAAAAAAEA&#10;IAAAACcBAABkcnMvZTJvRG9jLnhtbFBLBQYAAAAABgAGAFkBAABr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_GBK" w:cs="Times New Roman"/>
          <w:sz w:val="28"/>
          <w:szCs w:val="28"/>
        </w:rPr>
        <w:t>和静县自然资源局办公室                202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27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日印发 </w:t>
      </w:r>
    </w:p>
    <w:p w14:paraId="29A898BC">
      <w:pPr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sectPr>
          <w:headerReference r:id="rId5" w:type="default"/>
          <w:footerReference r:id="rId6" w:type="default"/>
          <w:pgSz w:w="11906" w:h="16838"/>
          <w:pgMar w:top="1871" w:right="1531" w:bottom="1984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linePitch="590" w:charSpace="0"/>
        </w:sectPr>
      </w:pPr>
    </w:p>
    <w:bookmarkEnd w:id="18"/>
    <w:bookmarkEnd w:id="19"/>
    <w:p w14:paraId="654CE3E1">
      <w:pPr>
        <w:pStyle w:val="8"/>
        <w:rPr>
          <w:rFonts w:hint="eastAsia"/>
          <w:lang w:val="en-US" w:eastAsia="zh-CN"/>
        </w:rPr>
      </w:pPr>
    </w:p>
    <w:sectPr>
      <w:headerReference r:id="rId7" w:type="default"/>
      <w:footerReference r:id="rId8" w:type="default"/>
      <w:pgSz w:w="11906" w:h="16838"/>
      <w:pgMar w:top="1871" w:right="1531" w:bottom="1984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59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98F587-C1E7-46D0-A86E-695517440DD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E365B26-4EE7-48FB-92BE-7B6E32BD56CA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E8C6838-913F-46E9-86C4-8411DE33663C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E7D5E03C-58F7-4CB0-BE2A-8FCC80FDE57E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6C7A3A40-2610-4D77-B115-7615DBC1F56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501BC644-583E-416F-9008-2596DE056B6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5036D">
    <w:pPr>
      <w:pStyle w:val="9"/>
      <w:kinsoku/>
      <w:autoSpaceDE/>
      <w:autoSpaceDN/>
      <w:adjustRightInd/>
      <w:spacing w:line="240" w:lineRule="auto"/>
      <w:jc w:val="center"/>
      <w:textAlignment w:val="auto"/>
      <w:rPr>
        <w:rFonts w:ascii="Times New Roman" w:hAnsi="Times New Roman" w:eastAsia="宋体" w:cs="Times New Roman"/>
        <w:snapToGrid/>
        <w:sz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EE98FA">
    <w:pPr>
      <w:pStyle w:val="9"/>
      <w:kinsoku/>
      <w:autoSpaceDE/>
      <w:autoSpaceDN/>
      <w:adjustRightInd/>
      <w:spacing w:line="240" w:lineRule="auto"/>
      <w:jc w:val="center"/>
      <w:textAlignment w:val="auto"/>
      <w:rPr>
        <w:rFonts w:ascii="Times New Roman" w:hAnsi="Times New Roman" w:eastAsia="宋体" w:cs="Times New Roman"/>
        <w:snapToGrid/>
        <w:sz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0B9839">
    <w:pPr>
      <w:pStyle w:val="10"/>
      <w:pBdr>
        <w:bottom w:val="none" w:color="auto" w:sz="0" w:space="1"/>
      </w:pBdr>
      <w:kinsoku/>
      <w:autoSpaceDE/>
      <w:autoSpaceDN/>
      <w:adjustRightInd/>
      <w:spacing w:line="240" w:lineRule="auto"/>
      <w:textAlignment w:val="auto"/>
      <w:rPr>
        <w:rFonts w:ascii="Times New Roman" w:hAnsi="Times New Roman" w:eastAsia="宋体" w:cs="Times New Roman"/>
        <w:snapToGrid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ECAE13">
    <w:pPr>
      <w:pStyle w:val="10"/>
      <w:pBdr>
        <w:bottom w:val="none" w:color="auto" w:sz="0" w:space="1"/>
      </w:pBdr>
      <w:kinsoku/>
      <w:autoSpaceDE/>
      <w:autoSpaceDN/>
      <w:adjustRightInd/>
      <w:spacing w:line="240" w:lineRule="auto"/>
      <w:textAlignment w:val="auto"/>
      <w:rPr>
        <w:rFonts w:ascii="Times New Roman" w:hAnsi="Times New Roman" w:eastAsia="宋体" w:cs="Times New Roman"/>
        <w:snapToGrid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lZjU4MDViY2MwY2MzNzgyYmYxZjIxMzUzZTlmMmYifQ=="/>
  </w:docVars>
  <w:rsids>
    <w:rsidRoot w:val="3A7C2A74"/>
    <w:rsid w:val="019645F9"/>
    <w:rsid w:val="061E3DB6"/>
    <w:rsid w:val="07DE5AAF"/>
    <w:rsid w:val="0A1D7496"/>
    <w:rsid w:val="0A8C2E5F"/>
    <w:rsid w:val="13A94FC5"/>
    <w:rsid w:val="1ABB0114"/>
    <w:rsid w:val="1B256297"/>
    <w:rsid w:val="1BAB4638"/>
    <w:rsid w:val="1BDA4AC1"/>
    <w:rsid w:val="21CB400C"/>
    <w:rsid w:val="24512859"/>
    <w:rsid w:val="245E0E58"/>
    <w:rsid w:val="25FF3A45"/>
    <w:rsid w:val="27BD701C"/>
    <w:rsid w:val="2B6A5A2B"/>
    <w:rsid w:val="2B6A5CC1"/>
    <w:rsid w:val="2CCC6994"/>
    <w:rsid w:val="2D247068"/>
    <w:rsid w:val="2E530CBA"/>
    <w:rsid w:val="2F885F1B"/>
    <w:rsid w:val="31434890"/>
    <w:rsid w:val="33510B63"/>
    <w:rsid w:val="34331536"/>
    <w:rsid w:val="34AF4725"/>
    <w:rsid w:val="358B6F41"/>
    <w:rsid w:val="39DA612C"/>
    <w:rsid w:val="3A7C2A74"/>
    <w:rsid w:val="3A970057"/>
    <w:rsid w:val="3E7105D4"/>
    <w:rsid w:val="415229BC"/>
    <w:rsid w:val="42D706C5"/>
    <w:rsid w:val="42E07096"/>
    <w:rsid w:val="44177A69"/>
    <w:rsid w:val="486C398E"/>
    <w:rsid w:val="4BC77D57"/>
    <w:rsid w:val="4C970180"/>
    <w:rsid w:val="4D45010E"/>
    <w:rsid w:val="54CC7451"/>
    <w:rsid w:val="56A52A41"/>
    <w:rsid w:val="57DE5FF4"/>
    <w:rsid w:val="59017E51"/>
    <w:rsid w:val="592F5306"/>
    <w:rsid w:val="5C0A6B94"/>
    <w:rsid w:val="60240D51"/>
    <w:rsid w:val="675D43F3"/>
    <w:rsid w:val="6A293A8A"/>
    <w:rsid w:val="6FF77132"/>
    <w:rsid w:val="7037282D"/>
    <w:rsid w:val="716A7341"/>
    <w:rsid w:val="735E5C3A"/>
    <w:rsid w:val="75FD4F4A"/>
    <w:rsid w:val="791D5FA2"/>
    <w:rsid w:val="79D7274E"/>
    <w:rsid w:val="7AB51C94"/>
    <w:rsid w:val="7B73403A"/>
    <w:rsid w:val="7C6E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3">
    <w:name w:val="heading 4"/>
    <w:next w:val="1"/>
    <w:qFormat/>
    <w:uiPriority w:val="0"/>
    <w:pPr>
      <w:keepNext/>
      <w:keepLines/>
      <w:widowControl w:val="0"/>
      <w:spacing w:before="280" w:after="290" w:line="376" w:lineRule="auto"/>
      <w:jc w:val="both"/>
      <w:outlineLvl w:val="3"/>
    </w:pPr>
    <w:rPr>
      <w:rFonts w:ascii="Arial" w:hAnsi="Arial" w:eastAsia="黑体" w:cs="Times New Roman"/>
      <w:b/>
      <w:bCs/>
      <w:kern w:val="2"/>
      <w:sz w:val="28"/>
      <w:szCs w:val="28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  <w:pPr>
      <w:spacing w:line="360" w:lineRule="auto"/>
      <w:ind w:firstLine="420"/>
    </w:pPr>
    <w:rPr>
      <w:rFonts w:ascii="方正仿宋简体" w:hAnsi="方正仿宋简体" w:eastAsia="方正仿宋简体"/>
      <w:szCs w:val="20"/>
    </w:r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ody Text Indent"/>
    <w:qFormat/>
    <w:uiPriority w:val="0"/>
    <w:pPr>
      <w:widowControl w:val="0"/>
      <w:spacing w:after="120"/>
      <w:ind w:left="420" w:left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9">
    <w:name w:val="footer"/>
    <w:basedOn w:val="1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0"/>
      <w:sz w:val="18"/>
      <w:szCs w:val="18"/>
      <w:lang w:val="en-US" w:eastAsia="zh-CN" w:bidi="ar-SA"/>
    </w:rPr>
  </w:style>
  <w:style w:type="paragraph" w:styleId="10">
    <w:name w:val="header"/>
    <w:basedOn w:val="1"/>
    <w:unhideWhenUsed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0"/>
      <w:sz w:val="18"/>
      <w:szCs w:val="18"/>
      <w:lang w:val="en-US" w:eastAsia="zh-CN" w:bidi="ar-SA"/>
    </w:rPr>
  </w:style>
  <w:style w:type="paragraph" w:styleId="11">
    <w:name w:val="Body Text First Indent 2"/>
    <w:qFormat/>
    <w:uiPriority w:val="0"/>
    <w:pPr>
      <w:widowControl w:val="0"/>
      <w:tabs>
        <w:tab w:val="decimal" w:pos="0"/>
      </w:tabs>
      <w:spacing w:after="120" w:afterLines="0" w:line="240" w:lineRule="auto"/>
      <w:ind w:left="420" w:leftChars="200" w:firstLine="420" w:firstLineChars="200"/>
      <w:jc w:val="both"/>
    </w:pPr>
    <w:rPr>
      <w:rFonts w:ascii="Times New Roman" w:hAnsi="Times New Roman" w:eastAsia="宋体" w:cs="Times New Roman"/>
      <w:spacing w:val="0"/>
      <w:kern w:val="2"/>
      <w:sz w:val="21"/>
      <w:szCs w:val="24"/>
      <w:lang w:val="en-US" w:eastAsia="zh-CN" w:bidi="ar-SA"/>
    </w:r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BodyText1I"/>
    <w:basedOn w:val="16"/>
    <w:qFormat/>
    <w:uiPriority w:val="0"/>
    <w:pPr>
      <w:ind w:firstLine="420" w:firstLineChars="100"/>
    </w:pPr>
    <w:rPr>
      <w:sz w:val="28"/>
      <w:szCs w:val="20"/>
    </w:rPr>
  </w:style>
  <w:style w:type="paragraph" w:customStyle="1" w:styleId="16">
    <w:name w:val="BodyText"/>
    <w:basedOn w:val="1"/>
    <w:qFormat/>
    <w:uiPriority w:val="0"/>
    <w:pPr>
      <w:spacing w:after="120"/>
    </w:pPr>
    <w:rPr>
      <w:szCs w:val="21"/>
    </w:rPr>
  </w:style>
  <w:style w:type="paragraph" w:customStyle="1" w:styleId="1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x正文"/>
    <w:qFormat/>
    <w:uiPriority w:val="0"/>
    <w:pPr>
      <w:widowControl w:val="0"/>
      <w:autoSpaceDE w:val="0"/>
      <w:autoSpaceDN w:val="0"/>
      <w:snapToGrid w:val="0"/>
      <w:spacing w:line="360" w:lineRule="auto"/>
      <w:ind w:firstLine="200" w:firstLineChars="200"/>
      <w:jc w:val="both"/>
      <w:textAlignment w:val="center"/>
    </w:pPr>
    <w:rPr>
      <w:rFonts w:ascii="Times New Roman" w:hAnsi="Times New Roman" w:eastAsia="仿宋_GB2312" w:cs="宋体"/>
      <w:sz w:val="24"/>
      <w:szCs w:val="24"/>
      <w:lang w:val="en-US" w:eastAsia="zh-CN" w:bidi="ar-SA"/>
    </w:rPr>
  </w:style>
  <w:style w:type="paragraph" w:customStyle="1" w:styleId="20">
    <w:name w:val="报告正文"/>
    <w:qFormat/>
    <w:uiPriority w:val="0"/>
    <w:pPr>
      <w:widowControl w:val="0"/>
      <w:adjustRightInd w:val="0"/>
      <w:snapToGrid w:val="0"/>
      <w:spacing w:line="300" w:lineRule="auto"/>
      <w:jc w:val="both"/>
    </w:pPr>
    <w:rPr>
      <w:rFonts w:ascii="宋体" w:hAnsi="Times New Roman" w:eastAsia="宋体" w:cs="Times New Roman"/>
      <w:kern w:val="2"/>
      <w:sz w:val="28"/>
      <w:szCs w:val="20"/>
      <w:lang w:val="en-US" w:eastAsia="zh-CN" w:bidi="ar-SA"/>
    </w:rPr>
  </w:style>
  <w:style w:type="paragraph" w:customStyle="1" w:styleId="21">
    <w:name w:val="Table Paragraph"/>
    <w:basedOn w:val="1"/>
    <w:qFormat/>
    <w:uiPriority w:val="1"/>
    <w:pPr>
      <w:jc w:val="center"/>
    </w:pPr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de604fb7-aa4f-4aab-b615-278f5fb54ce0</errorID>
      <errorWord>多</errorWord>
      <group>L1_Word</group>
      <groupName>字词问题</groupName>
      <ability>L2_Typo</ability>
      <abilityName>字词错误</abilityName>
      <candidateList>
        <item>多个</item>
      </candidateList>
      <explain/>
      <paraID> 803DECA</paraID>
      <start>262</start>
      <end>264</end>
      <status>modified</status>
      <modifiedWord>多个</modifiedWord>
      <trackRevisions>false</trackRevisions>
    </reviewItem>
    <reviewItem>
      <errorID>42684e4e-2c04-4f1a-93c0-9584ac7f6a27</errorID>
      <errorWord>）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5BA6F00F</paraID>
      <start>45</start>
      <end>46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7de129-05f0-45d2-825b-1a2444a8e7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1650</Words>
  <Characters>1921</Characters>
  <Lines>0</Lines>
  <Paragraphs>0</Paragraphs>
  <TotalTime>7</TotalTime>
  <ScaleCrop>false</ScaleCrop>
  <LinksUpToDate>false</LinksUpToDate>
  <CharactersWithSpaces>1949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2024-08-22T03:10:00Z</dcterms:created>
  <dc:creator></dc:creator>
  <cp:lastModifiedBy>觉伦图尔根</cp:lastModifiedBy>
  <cp:lastPrinted>2026-07-27T09:21:00Z</cp:lastPrinted>
  <dcterms:modified xsi:type="dcterms:W3CDTF">2026-07-27T10:56:07Z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90D6D2D8BF3E44BCA5679579AE134C3C_13</vt:lpwstr>
  </property>
  <property fmtid="{D5CDD505-2E9C-101B-9397-08002B2CF9AE}" pid="4" name="KSOTemplateDocerSaveRecord">
    <vt:lpwstr>eyJoZGlkIjoiMzI0OWRiMTZiMzRmNjNlMGUwZWQ4OTZmMWRjYmExZDUiLCJ1c2VySWQiOiI1MDE5NjM2MjYifQ==</vt:lpwstr>
  </property>
</Properties>
</file>