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jc w:val="both"/>
        <w:textAlignment w:val="center"/>
        <w:rPr>
          <w:rFonts w:hint="default" w:ascii="Times New Roman" w:hAnsi="Times New Roman" w:eastAsia="方正小标宋_GBK" w:cs="Times New Roman"/>
          <w:b w:val="0"/>
          <w:bCs w:val="0"/>
          <w:spacing w:val="0"/>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60" w:lineRule="atLeast"/>
        <w:jc w:val="center"/>
        <w:textAlignment w:val="center"/>
        <w:rPr>
          <w:rFonts w:hint="default" w:ascii="Times New Roman" w:hAnsi="Times New Roman" w:eastAsia="方正小标宋_GBK" w:cs="Times New Roman"/>
          <w:b w:val="0"/>
          <w:bCs w:val="0"/>
          <w:spacing w:val="0"/>
          <w:sz w:val="44"/>
          <w:szCs w:val="44"/>
          <w:lang w:val="en-US" w:eastAsia="zh-CN"/>
        </w:rPr>
      </w:pPr>
    </w:p>
    <w:p>
      <w:pPr>
        <w:pStyle w:val="14"/>
        <w:keepNext w:val="0"/>
        <w:keepLines w:val="0"/>
        <w:pageBreakBefore w:val="0"/>
        <w:overflowPunct/>
        <w:topLinePunct w:val="0"/>
        <w:bidi w:val="0"/>
        <w:spacing w:line="560" w:lineRule="exact"/>
        <w:rPr>
          <w:rFonts w:hint="default"/>
          <w:lang w:val="en-US" w:eastAsia="zh-CN"/>
        </w:rPr>
      </w:pPr>
    </w:p>
    <w:p>
      <w:pPr>
        <w:keepNext w:val="0"/>
        <w:keepLines w:val="0"/>
        <w:pageBreakBefore w:val="0"/>
        <w:widowControl/>
        <w:suppressLineNumbers w:val="0"/>
        <w:overflowPunct/>
        <w:topLinePunct w:val="0"/>
        <w:bidi w:val="0"/>
        <w:spacing w:line="560" w:lineRule="exact"/>
        <w:jc w:val="center"/>
        <w:rPr>
          <w:rFonts w:hint="default" w:ascii="Times New Roman" w:hAnsi="Times New Roman" w:eastAsia="方正小标宋_GBK" w:cs="Times New Roman"/>
          <w:spacing w:val="0"/>
          <w:sz w:val="44"/>
          <w:szCs w:val="44"/>
          <w:lang w:val="en-US" w:eastAsia="zh-CN"/>
        </w:rPr>
      </w:pPr>
      <w:bookmarkStart w:id="23" w:name="_GoBack"/>
      <w:r>
        <w:rPr>
          <w:rFonts w:hint="default" w:ascii="Times New Roman" w:hAnsi="Times New Roman" w:eastAsia="方正小标宋_GBK" w:cs="Times New Roman"/>
          <w:spacing w:val="0"/>
          <w:sz w:val="44"/>
          <w:szCs w:val="44"/>
          <w:lang w:val="en-US" w:eastAsia="zh-CN"/>
        </w:rPr>
        <w:t>关于对《新疆和静县大山口一带金矿普查临时用地土地复垦方案报告书》公开征求意见的公告</w:t>
      </w:r>
    </w:p>
    <w:bookmarkEnd w:id="23"/>
    <w:p>
      <w:pPr>
        <w:pStyle w:val="14"/>
        <w:keepNext w:val="0"/>
        <w:keepLines w:val="0"/>
        <w:pageBreakBefore w:val="0"/>
        <w:overflowPunct/>
        <w:topLinePunct w:val="0"/>
        <w:bidi w:val="0"/>
        <w:spacing w:line="560" w:lineRule="exact"/>
        <w:rPr>
          <w:rFonts w:hint="default"/>
          <w:lang w:val="en-US" w:eastAsia="zh-CN"/>
        </w:rPr>
      </w:pPr>
    </w:p>
    <w:p>
      <w:pPr>
        <w:keepNext w:val="0"/>
        <w:keepLines w:val="0"/>
        <w:pageBreakBefore w:val="0"/>
        <w:widowControl/>
        <w:suppressLineNumbers w:val="0"/>
        <w:overflowPunct/>
        <w:topLinePunct w:val="0"/>
        <w:bidi w:val="0"/>
        <w:spacing w:line="560" w:lineRule="exact"/>
        <w:ind w:firstLine="640" w:firstLineChars="200"/>
        <w:jc w:val="left"/>
        <w:rPr>
          <w:rFonts w:hint="default" w:ascii="Times New Roman" w:hAnsi="Times New Roman" w:eastAsia="方正仿宋_GBK" w:cs="Times New Roman"/>
          <w:b w:val="0"/>
          <w:bCs w:val="0"/>
          <w:spacing w:val="0"/>
          <w:sz w:val="32"/>
          <w:szCs w:val="32"/>
          <w:lang w:val="en-US" w:eastAsia="zh-CN"/>
        </w:rPr>
      </w:pPr>
      <w:r>
        <w:rPr>
          <w:rFonts w:hint="default" w:ascii="Times New Roman" w:hAnsi="Times New Roman" w:eastAsia="方正仿宋_GBK" w:cs="Times New Roman"/>
          <w:b w:val="0"/>
          <w:bCs w:val="0"/>
          <w:spacing w:val="0"/>
          <w:sz w:val="32"/>
          <w:szCs w:val="32"/>
          <w:lang w:val="en-US" w:eastAsia="zh-CN"/>
        </w:rPr>
        <w:t>按照《土地复垦方案》文件规定，对《新疆和静县大山口一带金矿普查临时用地土地复垦方案报告书》，对公众征询意见的公示文件要求，公示如下：</w:t>
      </w:r>
    </w:p>
    <w:p>
      <w:pPr>
        <w:keepNext w:val="0"/>
        <w:keepLines w:val="0"/>
        <w:pageBreakBefore w:val="0"/>
        <w:wordWrap/>
        <w:overflowPunct/>
        <w:topLinePunct w:val="0"/>
        <w:bidi w:val="0"/>
        <w:adjustRightInd w:val="0"/>
        <w:spacing w:line="560" w:lineRule="exact"/>
        <w:ind w:firstLine="640" w:firstLineChars="200"/>
        <w:jc w:val="left"/>
        <w:rPr>
          <w:rFonts w:hint="default" w:ascii="Times New Roman" w:hAnsi="Times New Roman" w:eastAsia="方正黑体_GBK" w:cs="Times New Roman"/>
          <w:b w:val="0"/>
          <w:bCs w:val="0"/>
          <w:snapToGrid w:val="0"/>
          <w:color w:val="000000"/>
          <w:kern w:val="0"/>
          <w:sz w:val="32"/>
          <w:szCs w:val="32"/>
          <w:lang w:val="en-US" w:eastAsia="zh-CN" w:bidi="ar-SA"/>
        </w:rPr>
      </w:pPr>
      <w:bookmarkStart w:id="0" w:name="_Toc8106"/>
      <w:bookmarkStart w:id="1" w:name="_Toc22955"/>
      <w:bookmarkStart w:id="2" w:name="_Toc341112431"/>
      <w:bookmarkStart w:id="3" w:name="_Toc340565569"/>
      <w:bookmarkStart w:id="4" w:name="_Toc340565702"/>
      <w:bookmarkStart w:id="5" w:name="_Toc340440652"/>
      <w:bookmarkStart w:id="6" w:name="_Toc82249315"/>
      <w:bookmarkStart w:id="7" w:name="_Toc18372"/>
      <w:r>
        <w:rPr>
          <w:rFonts w:hint="default" w:ascii="Times New Roman" w:hAnsi="Times New Roman" w:eastAsia="方正黑体_GBK" w:cs="Times New Roman"/>
          <w:b w:val="0"/>
          <w:bCs w:val="0"/>
          <w:snapToGrid w:val="0"/>
          <w:color w:val="000000"/>
          <w:kern w:val="0"/>
          <w:sz w:val="32"/>
          <w:szCs w:val="32"/>
          <w:lang w:val="en-US" w:eastAsia="zh-CN" w:bidi="ar-SA"/>
        </w:rPr>
        <w:t>1.1编制背景及过程</w:t>
      </w:r>
      <w:bookmarkEnd w:id="0"/>
      <w:bookmarkEnd w:id="1"/>
      <w:bookmarkEnd w:id="2"/>
      <w:bookmarkEnd w:id="3"/>
      <w:bookmarkEnd w:id="4"/>
      <w:bookmarkEnd w:id="5"/>
      <w:bookmarkEnd w:id="6"/>
      <w:bookmarkEnd w:id="7"/>
    </w:p>
    <w:p>
      <w:pPr>
        <w:keepNext w:val="0"/>
        <w:keepLines w:val="0"/>
        <w:pageBreakBefore w:val="0"/>
        <w:widowControl/>
        <w:suppressLineNumbers w:val="0"/>
        <w:kinsoku/>
        <w:wordWrap w:val="0"/>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方正仿宋_GBK" w:cs="Times New Roman"/>
          <w:snapToGrid/>
          <w:color w:val="auto"/>
          <w:kern w:val="0"/>
          <w:sz w:val="32"/>
          <w:szCs w:val="32"/>
          <w:lang w:val="en-US" w:eastAsia="zh-CN" w:bidi="ar-SA"/>
        </w:rPr>
      </w:pPr>
      <w:bookmarkStart w:id="8" w:name="_Toc341112432"/>
      <w:bookmarkStart w:id="9" w:name="_Toc340565570"/>
      <w:bookmarkStart w:id="10" w:name="_Toc340565703"/>
      <w:bookmarkStart w:id="11" w:name="_Toc340440653"/>
      <w:r>
        <w:rPr>
          <w:rFonts w:hint="eastAsia" w:ascii="Times New Roman" w:hAnsi="Times New Roman" w:eastAsia="方正仿宋_GBK" w:cs="Times New Roman"/>
          <w:snapToGrid/>
          <w:color w:val="auto"/>
          <w:kern w:val="0"/>
          <w:sz w:val="32"/>
          <w:szCs w:val="32"/>
          <w:lang w:val="en-US" w:eastAsia="zh-CN" w:bidi="ar-SA"/>
        </w:rPr>
        <w:t>新疆和静县矿产资源禀赋优越，是天山南麓重要的黄金资源储备基地。随着国家“双碳”战略及《新疆维吾尔自治区矿产资源总体规划（2021年—2025年）》的实施，推动矿产资源绿色勘查、降低地表扰动、实现土地资源可持续利用，已成为区域高质量发展的核心任务。该项目选址位于新疆和静县大山口一带，地处天山南麓高山区，区内以高原山地地貌为主，自然条件恶劣，为高寒荒漠无人区，无居民点及游牧民活动，植被极不发育，土地现状地类为其他土地-裸岩石砾地，不涉及耕地、林地及生态保护红线，符合《自然资源部关于规范其他土地开发利用的通知》中“优先利用低效其他土地保障矿业用地”的政策导向。</w:t>
      </w:r>
    </w:p>
    <w:p>
      <w:pPr>
        <w:keepNext w:val="0"/>
        <w:keepLines w:val="0"/>
        <w:pageBreakBefore w:val="0"/>
        <w:widowControl/>
        <w:suppressLineNumbers w:val="0"/>
        <w:kinsoku/>
        <w:wordWrap w:val="0"/>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方正仿宋_GBK" w:cs="Times New Roman"/>
          <w:snapToGrid/>
          <w:color w:val="auto"/>
          <w:kern w:val="0"/>
          <w:sz w:val="32"/>
          <w:szCs w:val="32"/>
          <w:lang w:val="en-US" w:eastAsia="zh-CN" w:bidi="ar-SA"/>
        </w:rPr>
      </w:pPr>
      <w:r>
        <w:rPr>
          <w:rFonts w:hint="eastAsia" w:ascii="Times New Roman" w:hAnsi="Times New Roman" w:eastAsia="方正仿宋_GBK" w:cs="Times New Roman"/>
          <w:snapToGrid/>
          <w:color w:val="auto"/>
          <w:kern w:val="0"/>
          <w:sz w:val="32"/>
          <w:szCs w:val="32"/>
          <w:lang w:val="en-US" w:eastAsia="zh-CN" w:bidi="ar-SA"/>
        </w:rPr>
        <w:t>本项目申请用地面积1.5870公顷（合23.81亩），拟占用土地位于和静县哈尔莫敦镇境内，占地类型为临时用地，用于新疆和静县大山口一带金矿普查项目建设使用，其中需布设槽探、钻孔及临时便道。临时用地仅对土地造成轻微、可逆的地表扰动，不涉及永久征地。</w:t>
      </w:r>
    </w:p>
    <w:p>
      <w:pPr>
        <w:keepNext w:val="0"/>
        <w:keepLines w:val="0"/>
        <w:pageBreakBefore w:val="0"/>
        <w:widowControl/>
        <w:suppressLineNumbers w:val="0"/>
        <w:kinsoku/>
        <w:wordWrap w:val="0"/>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方正仿宋_GBK" w:cs="Times New Roman"/>
          <w:snapToGrid/>
          <w:color w:val="auto"/>
          <w:kern w:val="0"/>
          <w:sz w:val="32"/>
          <w:szCs w:val="32"/>
          <w:lang w:val="en-US" w:eastAsia="zh-CN" w:bidi="ar-SA"/>
        </w:rPr>
      </w:pPr>
      <w:r>
        <w:rPr>
          <w:rFonts w:hint="eastAsia" w:ascii="Times New Roman" w:hAnsi="Times New Roman" w:eastAsia="方正仿宋_GBK" w:cs="Times New Roman"/>
          <w:snapToGrid/>
          <w:color w:val="auto"/>
          <w:kern w:val="0"/>
          <w:sz w:val="32"/>
          <w:szCs w:val="32"/>
          <w:lang w:val="en-US" w:eastAsia="zh-CN" w:bidi="ar-SA"/>
        </w:rPr>
        <w:t>为贯彻落实《土地复垦条例》（国务院令第592号），坚持最严格的节约集约用地制度，转变用地观念，坚持工程建设少占地、不占或少占耕地、恢复生态环境，使本项目临时用地建设过程中减少临时土地损毁面积，并保证损毁土地得到及时复垦。将土地复垦目标、任务、措施和计划等落到实处，为土地复垦的实施管理、监督检查以及土地复垦费的征收等提供依据，确保土地复垦工作落到实处，特编制本方案。及时复垦利用被损毁的土地，充分挖掘废弃土地潜力，促进土地节约集约利用，保护和改善生产建设区域生态环境，实现社会经济与生态环境的可持续发展，新疆维吾尔自治区地质局巴音郭楞地质大队于2026年6月委托巴州新矿测绘有限责任公司编制《新疆和静县大山口一带金矿普查临时用地项目临时用地土地复垦方案报告书》。</w:t>
      </w:r>
    </w:p>
    <w:p>
      <w:pPr>
        <w:keepNext w:val="0"/>
        <w:keepLines w:val="0"/>
        <w:pageBreakBefore w:val="0"/>
        <w:widowControl/>
        <w:suppressLineNumbers w:val="0"/>
        <w:kinsoku/>
        <w:wordWrap w:val="0"/>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方正仿宋_GBK" w:cs="Times New Roman"/>
          <w:snapToGrid/>
          <w:color w:val="auto"/>
          <w:kern w:val="0"/>
          <w:sz w:val="32"/>
          <w:szCs w:val="32"/>
          <w:lang w:val="en-US" w:eastAsia="zh-CN" w:bidi="ar-SA"/>
        </w:rPr>
      </w:pPr>
      <w:r>
        <w:rPr>
          <w:rFonts w:hint="eastAsia" w:ascii="Times New Roman" w:hAnsi="Times New Roman" w:eastAsia="方正仿宋_GBK" w:cs="Times New Roman"/>
          <w:snapToGrid/>
          <w:color w:val="auto"/>
          <w:kern w:val="0"/>
          <w:sz w:val="32"/>
          <w:szCs w:val="32"/>
          <w:lang w:val="en-US" w:eastAsia="zh-CN" w:bidi="ar-SA"/>
        </w:rPr>
        <w:t>接受委托后，我单位组织人员多次对现场进行实地踏勘，对项目区的土地利用现状与规划进行了调查，收集了相关的基础资料，走访了相关职能部门和土地权利人，咨询和了解了当地土地利用总体规划和相关土地复垦规定，严格按照《土地复垦方案编制规程》等有关规定进行编制，并反复讨论修改，最终形成《新疆和静县大山口一带金矿普查临时用地土地复垦方案报告书》及附图、附件。</w:t>
      </w:r>
    </w:p>
    <w:p>
      <w:pPr>
        <w:keepNext w:val="0"/>
        <w:keepLines w:val="0"/>
        <w:pageBreakBefore w:val="0"/>
        <w:wordWrap/>
        <w:overflowPunct/>
        <w:topLinePunct w:val="0"/>
        <w:bidi w:val="0"/>
        <w:adjustRightInd w:val="0"/>
        <w:spacing w:line="560" w:lineRule="exact"/>
        <w:ind w:firstLine="640" w:firstLineChars="200"/>
        <w:jc w:val="left"/>
        <w:rPr>
          <w:rFonts w:hint="default" w:ascii="Times New Roman" w:hAnsi="Times New Roman" w:eastAsia="方正黑体_GBK" w:cs="Times New Roman"/>
          <w:b w:val="0"/>
          <w:bCs w:val="0"/>
          <w:snapToGrid w:val="0"/>
          <w:color w:val="000000"/>
          <w:kern w:val="0"/>
          <w:sz w:val="32"/>
          <w:szCs w:val="32"/>
          <w:lang w:val="en-US" w:eastAsia="zh-CN" w:bidi="ar-SA"/>
        </w:rPr>
      </w:pPr>
      <w:bookmarkStart w:id="12" w:name="_Toc25351"/>
      <w:bookmarkStart w:id="13" w:name="_Toc16492"/>
      <w:bookmarkStart w:id="14" w:name="_Toc82249316"/>
      <w:bookmarkStart w:id="15" w:name="_Toc5914"/>
      <w:r>
        <w:rPr>
          <w:rFonts w:hint="default" w:ascii="Times New Roman" w:hAnsi="Times New Roman" w:eastAsia="方正黑体_GBK" w:cs="Times New Roman"/>
          <w:b w:val="0"/>
          <w:bCs w:val="0"/>
          <w:snapToGrid w:val="0"/>
          <w:color w:val="000000"/>
          <w:kern w:val="0"/>
          <w:sz w:val="32"/>
          <w:szCs w:val="32"/>
          <w:lang w:val="en-US" w:eastAsia="zh-CN" w:bidi="ar-SA"/>
        </w:rPr>
        <w:t>1.2复垦方案摘要</w:t>
      </w:r>
      <w:bookmarkEnd w:id="8"/>
      <w:bookmarkEnd w:id="9"/>
      <w:bookmarkEnd w:id="10"/>
      <w:bookmarkEnd w:id="11"/>
      <w:bookmarkEnd w:id="12"/>
      <w:bookmarkEnd w:id="13"/>
      <w:bookmarkEnd w:id="14"/>
      <w:bookmarkEnd w:id="15"/>
      <w:r>
        <w:rPr>
          <w:rFonts w:hint="default" w:ascii="Times New Roman" w:hAnsi="Times New Roman" w:eastAsia="方正黑体_GBK" w:cs="Times New Roman"/>
          <w:b w:val="0"/>
          <w:bCs w:val="0"/>
          <w:snapToGrid w:val="0"/>
          <w:color w:val="000000"/>
          <w:kern w:val="0"/>
          <w:sz w:val="32"/>
          <w:szCs w:val="32"/>
          <w:lang w:val="en-US" w:eastAsia="zh-CN" w:bidi="ar-SA"/>
        </w:rPr>
        <w:tab/>
      </w:r>
    </w:p>
    <w:p>
      <w:pPr>
        <w:keepNext w:val="0"/>
        <w:keepLines w:val="0"/>
        <w:pageBreakBefore w:val="0"/>
        <w:wordWrap/>
        <w:overflowPunct/>
        <w:topLinePunct w:val="0"/>
        <w:bidi w:val="0"/>
        <w:spacing w:before="120" w:beforeLines="50" w:after="120" w:afterLines="50" w:line="560" w:lineRule="exact"/>
        <w:ind w:firstLine="640" w:firstLineChars="200"/>
        <w:jc w:val="left"/>
        <w:outlineLvl w:val="2"/>
        <w:rPr>
          <w:rFonts w:hint="eastAsia" w:ascii="方正楷体_GBK" w:hAnsi="方正楷体_GBK" w:eastAsia="方正楷体_GBK" w:cs="方正楷体_GBK"/>
          <w:sz w:val="32"/>
          <w:szCs w:val="32"/>
        </w:rPr>
      </w:pPr>
      <w:bookmarkStart w:id="16" w:name="_Toc82249317"/>
      <w:bookmarkStart w:id="17" w:name="_Toc82249318"/>
      <w:r>
        <w:rPr>
          <w:rFonts w:hint="eastAsia" w:ascii="方正楷体_GBK" w:hAnsi="方正楷体_GBK" w:eastAsia="方正楷体_GBK" w:cs="方正楷体_GBK"/>
          <w:sz w:val="32"/>
          <w:szCs w:val="32"/>
        </w:rPr>
        <w:t>1.2.1服务年限</w:t>
      </w:r>
      <w:bookmarkEnd w:id="16"/>
    </w:p>
    <w:bookmarkEnd w:id="17"/>
    <w:p>
      <w:pPr>
        <w:keepNext w:val="0"/>
        <w:keepLines w:val="0"/>
        <w:pageBreakBefore w:val="0"/>
        <w:widowControl/>
        <w:suppressLineNumbers w:val="0"/>
        <w:kinsoku/>
        <w:wordWrap w:val="0"/>
        <w:overflowPunct/>
        <w:topLinePunct w:val="0"/>
        <w:autoSpaceDE/>
        <w:autoSpaceDN/>
        <w:bidi w:val="0"/>
        <w:adjustRightInd/>
        <w:snapToGrid/>
        <w:spacing w:line="560" w:lineRule="exact"/>
        <w:ind w:firstLine="652" w:firstLineChars="200"/>
        <w:jc w:val="left"/>
        <w:textAlignment w:val="auto"/>
        <w:rPr>
          <w:rFonts w:hint="default" w:ascii="Times New Roman" w:hAnsi="Times New Roman" w:eastAsia="方正仿宋_GBK" w:cs="Times New Roman"/>
          <w:snapToGrid w:val="0"/>
          <w:color w:val="000000"/>
          <w:spacing w:val="3"/>
          <w:kern w:val="0"/>
          <w:sz w:val="32"/>
          <w:szCs w:val="32"/>
          <w:lang w:val="en-US" w:eastAsia="zh-CN" w:bidi="ar-SA"/>
        </w:rPr>
      </w:pPr>
      <w:r>
        <w:rPr>
          <w:rFonts w:hint="eastAsia" w:ascii="Times New Roman" w:hAnsi="Times New Roman" w:eastAsia="方正仿宋_GBK" w:cs="Times New Roman"/>
          <w:snapToGrid w:val="0"/>
          <w:color w:val="000000"/>
          <w:spacing w:val="3"/>
          <w:kern w:val="0"/>
          <w:sz w:val="32"/>
          <w:szCs w:val="32"/>
          <w:lang w:val="en-US" w:eastAsia="zh-CN" w:bidi="ar-SA"/>
        </w:rPr>
        <w:t>该项目为新疆和静县大山口一带金矿普查临时用地试用期为2年（包括勘查准备期和勘查施工期，2026年7月—2028年6月）。土地复垦滞后于勘查期，由于气候特征的影响，设计复垦施工期为2个月（2028年7月—2028年8月）。由于本次申请的临时用地类型为裸岩石砾地，不再设置管护期。</w:t>
      </w:r>
    </w:p>
    <w:p>
      <w:pPr>
        <w:keepNext w:val="0"/>
        <w:keepLines w:val="0"/>
        <w:pageBreakBefore w:val="0"/>
        <w:widowControl/>
        <w:suppressLineNumbers w:val="0"/>
        <w:kinsoku/>
        <w:wordWrap w:val="0"/>
        <w:overflowPunct/>
        <w:topLinePunct w:val="0"/>
        <w:autoSpaceDE/>
        <w:autoSpaceDN/>
        <w:bidi w:val="0"/>
        <w:adjustRightInd/>
        <w:snapToGrid/>
        <w:spacing w:line="560" w:lineRule="exact"/>
        <w:ind w:firstLine="652" w:firstLineChars="200"/>
        <w:jc w:val="left"/>
        <w:textAlignment w:val="auto"/>
        <w:rPr>
          <w:rFonts w:hint="default" w:ascii="Times New Roman" w:hAnsi="Times New Roman" w:eastAsia="方正仿宋_GBK" w:cs="Times New Roman"/>
          <w:snapToGrid w:val="0"/>
          <w:color w:val="000000"/>
          <w:spacing w:val="3"/>
          <w:kern w:val="0"/>
          <w:sz w:val="32"/>
          <w:szCs w:val="32"/>
          <w:lang w:val="en-US" w:eastAsia="zh-CN" w:bidi="ar-SA"/>
        </w:rPr>
      </w:pPr>
      <w:r>
        <w:rPr>
          <w:rFonts w:hint="eastAsia" w:ascii="Times New Roman" w:hAnsi="Times New Roman" w:eastAsia="方正仿宋_GBK" w:cs="Times New Roman"/>
          <w:snapToGrid w:val="0"/>
          <w:color w:val="000000"/>
          <w:spacing w:val="3"/>
          <w:kern w:val="0"/>
          <w:sz w:val="32"/>
          <w:szCs w:val="32"/>
          <w:lang w:val="en-US" w:eastAsia="zh-CN" w:bidi="ar-SA"/>
        </w:rPr>
        <w:t>因此，最终确定本方案的服务年限为2年2个月，即施工期为2026年7月—2028年6月，复垦期为2028年7月—2028年8月。根据《土地法》规定，临时使用土地的使用者应当按照临时使用土地合同约定的用途使用土地，并不得修建永久性建筑物。临时使用土地期限一般不超过二年，重大工程不超过四年的规定。</w:t>
      </w:r>
    </w:p>
    <w:p>
      <w:pPr>
        <w:keepNext w:val="0"/>
        <w:keepLines w:val="0"/>
        <w:pageBreakBefore w:val="0"/>
        <w:wordWrap/>
        <w:overflowPunct/>
        <w:topLinePunct w:val="0"/>
        <w:bidi w:val="0"/>
        <w:spacing w:before="120" w:beforeLines="50" w:after="120" w:afterLines="50" w:line="560" w:lineRule="exact"/>
        <w:ind w:firstLine="640" w:firstLineChars="200"/>
        <w:jc w:val="left"/>
        <w:outlineLvl w:val="2"/>
        <w:rPr>
          <w:rFonts w:hint="default" w:ascii="方正楷体_GBK" w:hAnsi="方正楷体_GBK" w:eastAsia="方正楷体_GBK" w:cs="方正楷体_GBK"/>
          <w:sz w:val="32"/>
          <w:szCs w:val="32"/>
        </w:rPr>
      </w:pPr>
      <w:r>
        <w:rPr>
          <w:rFonts w:hint="default" w:ascii="方正楷体_GBK" w:hAnsi="方正楷体_GBK" w:eastAsia="方正楷体_GBK" w:cs="方正楷体_GBK"/>
          <w:sz w:val="32"/>
          <w:szCs w:val="32"/>
        </w:rPr>
        <w:t>1.2.2工程涉及的各类土地面积</w:t>
      </w:r>
    </w:p>
    <w:p>
      <w:pPr>
        <w:keepNext w:val="0"/>
        <w:keepLines w:val="0"/>
        <w:pageBreakBefore w:val="0"/>
        <w:widowControl/>
        <w:suppressLineNumbers w:val="0"/>
        <w:kinsoku/>
        <w:wordWrap w:val="0"/>
        <w:overflowPunct/>
        <w:topLinePunct w:val="0"/>
        <w:autoSpaceDE/>
        <w:autoSpaceDN/>
        <w:bidi w:val="0"/>
        <w:adjustRightInd/>
        <w:snapToGrid/>
        <w:spacing w:line="560" w:lineRule="exact"/>
        <w:ind w:firstLine="652" w:firstLineChars="200"/>
        <w:jc w:val="left"/>
        <w:textAlignment w:val="auto"/>
        <w:rPr>
          <w:rFonts w:hint="default" w:ascii="Times New Roman" w:hAnsi="Times New Roman" w:eastAsia="方正仿宋_GBK" w:cs="Times New Roman"/>
          <w:snapToGrid w:val="0"/>
          <w:color w:val="000000"/>
          <w:spacing w:val="3"/>
          <w:kern w:val="0"/>
          <w:sz w:val="32"/>
          <w:szCs w:val="32"/>
          <w:lang w:val="en-US" w:eastAsia="zh-CN" w:bidi="ar-SA"/>
        </w:rPr>
      </w:pPr>
      <w:bookmarkStart w:id="18" w:name="OLE_LINK2"/>
      <w:bookmarkStart w:id="19" w:name="_Hlk228967561"/>
      <w:r>
        <w:rPr>
          <w:rFonts w:hint="eastAsia" w:ascii="Times New Roman" w:hAnsi="Times New Roman" w:eastAsia="方正仿宋_GBK" w:cs="Times New Roman"/>
          <w:snapToGrid w:val="0"/>
          <w:color w:val="000000"/>
          <w:spacing w:val="3"/>
          <w:kern w:val="0"/>
          <w:sz w:val="32"/>
          <w:szCs w:val="32"/>
          <w:lang w:val="en-US" w:eastAsia="zh-CN" w:bidi="ar-SA"/>
        </w:rPr>
        <w:t>本项目占地总面积为</w:t>
      </w:r>
      <w:bookmarkStart w:id="20" w:name="_Hlk106115145"/>
      <w:r>
        <w:rPr>
          <w:rFonts w:hint="eastAsia" w:ascii="Times New Roman" w:hAnsi="Times New Roman" w:eastAsia="方正仿宋_GBK" w:cs="Times New Roman"/>
          <w:snapToGrid w:val="0"/>
          <w:color w:val="000000"/>
          <w:spacing w:val="3"/>
          <w:kern w:val="0"/>
          <w:sz w:val="32"/>
          <w:szCs w:val="32"/>
          <w:lang w:val="en-US" w:eastAsia="zh-CN" w:bidi="ar-SA"/>
        </w:rPr>
        <w:t>1.5870公顷</w:t>
      </w:r>
      <w:bookmarkEnd w:id="20"/>
      <w:r>
        <w:rPr>
          <w:rFonts w:hint="eastAsia" w:ascii="Times New Roman" w:hAnsi="Times New Roman" w:eastAsia="方正仿宋_GBK" w:cs="Times New Roman"/>
          <w:snapToGrid w:val="0"/>
          <w:color w:val="000000"/>
          <w:spacing w:val="3"/>
          <w:kern w:val="0"/>
          <w:sz w:val="32"/>
          <w:szCs w:val="32"/>
          <w:lang w:val="en-US" w:eastAsia="zh-CN" w:bidi="ar-SA"/>
        </w:rPr>
        <w:t>，均为临时用地，土地类型均为裸岩石砾地。方案涉及具体各类用地面积见表1-1所示。</w:t>
      </w:r>
    </w:p>
    <w:p>
      <w:pPr>
        <w:keepNext w:val="0"/>
        <w:keepLines w:val="0"/>
        <w:pageBreakBefore w:val="0"/>
        <w:overflowPunct/>
        <w:topLinePunct w:val="0"/>
        <w:bidi w:val="0"/>
        <w:spacing w:line="560" w:lineRule="exact"/>
        <w:jc w:val="left"/>
        <w:rPr>
          <w:rFonts w:eastAsia="黑体"/>
          <w:kern w:val="0"/>
          <w:szCs w:val="21"/>
        </w:rPr>
      </w:pPr>
      <w:r>
        <w:rPr>
          <w:rFonts w:eastAsia="黑体"/>
          <w:kern w:val="0"/>
          <w:szCs w:val="21"/>
        </w:rPr>
        <w:t>表1-1   方案涉及各类土地面积</w:t>
      </w:r>
      <w:r>
        <w:rPr>
          <w:rFonts w:hint="eastAsia" w:eastAsia="黑体"/>
          <w:kern w:val="0"/>
          <w:szCs w:val="21"/>
          <w:lang w:val="en-US" w:eastAsia="zh-CN"/>
        </w:rPr>
        <w:t>统计</w:t>
      </w:r>
      <w:r>
        <w:rPr>
          <w:rFonts w:eastAsia="黑体"/>
          <w:kern w:val="0"/>
          <w:szCs w:val="21"/>
        </w:rPr>
        <w:t>表</w:t>
      </w:r>
    </w:p>
    <w:tbl>
      <w:tblPr>
        <w:tblStyle w:val="12"/>
        <w:tblW w:w="457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93"/>
        <w:gridCol w:w="2422"/>
        <w:gridCol w:w="774"/>
        <w:gridCol w:w="1329"/>
        <w:gridCol w:w="1387"/>
        <w:gridCol w:w="17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35" w:hRule="atLeast"/>
        </w:trPr>
        <w:tc>
          <w:tcPr>
            <w:tcW w:w="1818" w:type="pct"/>
            <w:gridSpan w:val="2"/>
            <w:shd w:val="clear" w:color="auto" w:fill="auto"/>
            <w:vAlign w:val="center"/>
          </w:tcPr>
          <w:p>
            <w:pPr>
              <w:keepNext w:val="0"/>
              <w:keepLines w:val="0"/>
              <w:pageBreakBefore w:val="0"/>
              <w:widowControl/>
              <w:suppressLineNumbers w:val="0"/>
              <w:overflowPunct/>
              <w:topLinePunct w:val="0"/>
              <w:bidi w:val="0"/>
              <w:spacing w:line="560" w:lineRule="exact"/>
              <w:jc w:val="left"/>
              <w:textAlignment w:val="center"/>
              <w:rPr>
                <w:rFonts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一级地类</w:t>
            </w:r>
          </w:p>
        </w:tc>
        <w:tc>
          <w:tcPr>
            <w:tcW w:w="1268" w:type="pct"/>
            <w:gridSpan w:val="2"/>
            <w:shd w:val="clear" w:color="auto" w:fill="auto"/>
            <w:vAlign w:val="center"/>
          </w:tcPr>
          <w:p>
            <w:pPr>
              <w:keepNext w:val="0"/>
              <w:keepLines w:val="0"/>
              <w:pageBreakBefore w:val="0"/>
              <w:widowControl/>
              <w:suppressLineNumbers w:val="0"/>
              <w:overflowPunct/>
              <w:topLinePunct w:val="0"/>
              <w:bidi w:val="0"/>
              <w:spacing w:line="560" w:lineRule="exact"/>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二级地类</w:t>
            </w:r>
          </w:p>
        </w:tc>
        <w:tc>
          <w:tcPr>
            <w:tcW w:w="836" w:type="pct"/>
            <w:shd w:val="clear" w:color="auto" w:fill="auto"/>
            <w:vAlign w:val="center"/>
          </w:tcPr>
          <w:p>
            <w:pPr>
              <w:keepNext w:val="0"/>
              <w:keepLines w:val="0"/>
              <w:pageBreakBefore w:val="0"/>
              <w:widowControl/>
              <w:suppressLineNumbers w:val="0"/>
              <w:overflowPunct/>
              <w:topLinePunct w:val="0"/>
              <w:bidi w:val="0"/>
              <w:spacing w:line="560" w:lineRule="exact"/>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面积（</w:t>
            </w:r>
            <w:r>
              <w:rPr>
                <w:rFonts w:hint="default" w:ascii="Times New Roman" w:hAnsi="Times New Roman" w:eastAsia="仿宋" w:cs="Times New Roman"/>
                <w:i w:val="0"/>
                <w:iCs w:val="0"/>
                <w:color w:val="000000"/>
                <w:kern w:val="0"/>
                <w:sz w:val="18"/>
                <w:szCs w:val="18"/>
                <w:u w:val="none"/>
                <w:lang w:val="en-US" w:eastAsia="zh-CN" w:bidi="ar"/>
              </w:rPr>
              <w:t>hm</w:t>
            </w:r>
            <w:r>
              <w:rPr>
                <w:rFonts w:hint="default" w:ascii="Times New Roman" w:hAnsi="Times New Roman" w:eastAsia="仿宋" w:cs="Times New Roman"/>
                <w:i w:val="0"/>
                <w:iCs w:val="0"/>
                <w:color w:val="000000"/>
                <w:kern w:val="0"/>
                <w:sz w:val="18"/>
                <w:szCs w:val="18"/>
                <w:u w:val="none"/>
                <w:vertAlign w:val="superscript"/>
                <w:lang w:val="en-US" w:eastAsia="zh-CN" w:bidi="ar"/>
              </w:rPr>
              <w:t>2</w:t>
            </w:r>
            <w:r>
              <w:rPr>
                <w:rFonts w:hint="eastAsia" w:ascii="仿宋" w:hAnsi="仿宋" w:eastAsia="仿宋" w:cs="仿宋"/>
                <w:i w:val="0"/>
                <w:iCs w:val="0"/>
                <w:color w:val="000000"/>
                <w:kern w:val="0"/>
                <w:sz w:val="18"/>
                <w:szCs w:val="18"/>
                <w:u w:val="none"/>
                <w:lang w:val="en-US" w:eastAsia="zh-CN" w:bidi="ar"/>
              </w:rPr>
              <w:t>）</w:t>
            </w:r>
          </w:p>
        </w:tc>
        <w:tc>
          <w:tcPr>
            <w:tcW w:w="1076" w:type="pct"/>
            <w:shd w:val="clear" w:color="auto" w:fill="auto"/>
            <w:vAlign w:val="center"/>
          </w:tcPr>
          <w:p>
            <w:pPr>
              <w:keepNext w:val="0"/>
              <w:keepLines w:val="0"/>
              <w:pageBreakBefore w:val="0"/>
              <w:widowControl/>
              <w:suppressLineNumbers w:val="0"/>
              <w:overflowPunct/>
              <w:topLinePunct w:val="0"/>
              <w:bidi w:val="0"/>
              <w:spacing w:line="560" w:lineRule="exact"/>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占总面积比例（</w:t>
            </w:r>
            <w:r>
              <w:rPr>
                <w:rFonts w:hint="default" w:ascii="Times New Roman" w:hAnsi="Times New Roman" w:eastAsia="仿宋" w:cs="Times New Roman"/>
                <w:i w:val="0"/>
                <w:iCs w:val="0"/>
                <w:color w:val="000000"/>
                <w:kern w:val="0"/>
                <w:sz w:val="18"/>
                <w:szCs w:val="18"/>
                <w:u w:val="none"/>
                <w:lang w:val="en-US" w:eastAsia="zh-CN" w:bidi="ar"/>
              </w:rPr>
              <w:t>%</w:t>
            </w:r>
            <w:r>
              <w:rPr>
                <w:rFonts w:hint="eastAsia" w:ascii="仿宋" w:hAnsi="仿宋" w:eastAsia="仿宋" w:cs="仿宋"/>
                <w:i w:val="0"/>
                <w:iCs w:val="0"/>
                <w:color w:val="000000"/>
                <w:kern w:val="0"/>
                <w:sz w:val="18"/>
                <w:szCs w:val="18"/>
                <w:u w:val="none"/>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75" w:hRule="atLeast"/>
        </w:trPr>
        <w:tc>
          <w:tcPr>
            <w:tcW w:w="357" w:type="pct"/>
            <w:shd w:val="clear" w:color="auto" w:fill="auto"/>
            <w:vAlign w:val="center"/>
          </w:tcPr>
          <w:p>
            <w:pPr>
              <w:keepNext w:val="0"/>
              <w:keepLines w:val="0"/>
              <w:pageBreakBefore w:val="0"/>
              <w:widowControl/>
              <w:suppressLineNumbers w:val="0"/>
              <w:overflowPunct/>
              <w:topLinePunct w:val="0"/>
              <w:bidi w:val="0"/>
              <w:spacing w:line="560" w:lineRule="exact"/>
              <w:jc w:val="left"/>
              <w:textAlignment w:val="center"/>
              <w:rPr>
                <w:rFonts w:hint="default" w:ascii="Times New Roman" w:hAnsi="Times New Roman" w:cs="Times New Roman"/>
                <w:i w:val="0"/>
                <w:iCs w:val="0"/>
                <w:color w:val="000000"/>
                <w:sz w:val="18"/>
                <w:szCs w:val="18"/>
                <w:u w:val="none"/>
                <w:lang w:val="en-US"/>
              </w:rPr>
            </w:pPr>
            <w:r>
              <w:rPr>
                <w:rFonts w:hint="eastAsia" w:cs="Times New Roman"/>
                <w:i w:val="0"/>
                <w:iCs w:val="0"/>
                <w:color w:val="000000"/>
                <w:kern w:val="0"/>
                <w:sz w:val="18"/>
                <w:szCs w:val="18"/>
                <w:u w:val="none"/>
                <w:lang w:val="en-US" w:eastAsia="zh-CN" w:bidi="ar"/>
              </w:rPr>
              <w:t>12</w:t>
            </w:r>
          </w:p>
        </w:tc>
        <w:tc>
          <w:tcPr>
            <w:tcW w:w="1460" w:type="pct"/>
            <w:shd w:val="clear" w:color="auto" w:fill="auto"/>
            <w:vAlign w:val="center"/>
          </w:tcPr>
          <w:p>
            <w:pPr>
              <w:keepNext w:val="0"/>
              <w:keepLines w:val="0"/>
              <w:pageBreakBefore w:val="0"/>
              <w:widowControl/>
              <w:suppressLineNumbers w:val="0"/>
              <w:overflowPunct/>
              <w:topLinePunct w:val="0"/>
              <w:bidi w:val="0"/>
              <w:spacing w:line="560" w:lineRule="exact"/>
              <w:jc w:val="left"/>
              <w:textAlignment w:val="center"/>
              <w:rPr>
                <w:rFonts w:hint="default" w:ascii="仿宋" w:hAnsi="仿宋" w:eastAsia="仿宋" w:cs="仿宋"/>
                <w:i w:val="0"/>
                <w:iCs w:val="0"/>
                <w:color w:val="000000"/>
                <w:sz w:val="18"/>
                <w:szCs w:val="18"/>
                <w:u w:val="none"/>
                <w:lang w:val="en-US"/>
              </w:rPr>
            </w:pPr>
            <w:r>
              <w:rPr>
                <w:rFonts w:hint="eastAsia" w:ascii="仿宋" w:hAnsi="仿宋" w:eastAsia="仿宋" w:cs="仿宋"/>
                <w:i w:val="0"/>
                <w:iCs w:val="0"/>
                <w:color w:val="000000"/>
                <w:kern w:val="0"/>
                <w:sz w:val="18"/>
                <w:szCs w:val="18"/>
                <w:u w:val="none"/>
                <w:lang w:val="en-US" w:eastAsia="zh-CN" w:bidi="ar"/>
              </w:rPr>
              <w:t>其他土地</w:t>
            </w:r>
          </w:p>
        </w:tc>
        <w:tc>
          <w:tcPr>
            <w:tcW w:w="466" w:type="pct"/>
            <w:shd w:val="clear" w:color="auto" w:fill="auto"/>
            <w:vAlign w:val="center"/>
          </w:tcPr>
          <w:p>
            <w:pPr>
              <w:keepNext w:val="0"/>
              <w:keepLines w:val="0"/>
              <w:pageBreakBefore w:val="0"/>
              <w:widowControl/>
              <w:suppressLineNumbers w:val="0"/>
              <w:overflowPunct/>
              <w:topLinePunct w:val="0"/>
              <w:bidi w:val="0"/>
              <w:spacing w:line="560" w:lineRule="exact"/>
              <w:jc w:val="left"/>
              <w:textAlignment w:val="center"/>
              <w:rPr>
                <w:rFonts w:hint="default" w:ascii="Times New Roman" w:hAnsi="Times New Roman" w:cs="Times New Roman"/>
                <w:i w:val="0"/>
                <w:iCs w:val="0"/>
                <w:color w:val="000000"/>
                <w:sz w:val="18"/>
                <w:szCs w:val="18"/>
                <w:u w:val="none"/>
                <w:lang w:val="en-US"/>
              </w:rPr>
            </w:pPr>
            <w:r>
              <w:rPr>
                <w:rFonts w:hint="eastAsia" w:cs="Times New Roman"/>
                <w:i w:val="0"/>
                <w:iCs w:val="0"/>
                <w:color w:val="000000"/>
                <w:kern w:val="0"/>
                <w:sz w:val="18"/>
                <w:szCs w:val="18"/>
                <w:u w:val="none"/>
                <w:lang w:val="en-US" w:eastAsia="zh-CN" w:bidi="ar"/>
              </w:rPr>
              <w:t>1207</w:t>
            </w:r>
          </w:p>
        </w:tc>
        <w:tc>
          <w:tcPr>
            <w:tcW w:w="801" w:type="pct"/>
            <w:shd w:val="clear" w:color="auto" w:fill="auto"/>
            <w:vAlign w:val="center"/>
          </w:tcPr>
          <w:p>
            <w:pPr>
              <w:keepNext w:val="0"/>
              <w:keepLines w:val="0"/>
              <w:pageBreakBefore w:val="0"/>
              <w:widowControl/>
              <w:suppressLineNumbers w:val="0"/>
              <w:overflowPunct/>
              <w:topLinePunct w:val="0"/>
              <w:bidi w:val="0"/>
              <w:spacing w:line="560" w:lineRule="exact"/>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裸岩石砾地</w:t>
            </w:r>
          </w:p>
        </w:tc>
        <w:tc>
          <w:tcPr>
            <w:tcW w:w="836" w:type="pct"/>
            <w:shd w:val="clear" w:color="auto" w:fill="auto"/>
            <w:vAlign w:val="center"/>
          </w:tcPr>
          <w:p>
            <w:pPr>
              <w:keepNext w:val="0"/>
              <w:keepLines w:val="0"/>
              <w:pageBreakBefore w:val="0"/>
              <w:widowControl/>
              <w:suppressLineNumbers w:val="0"/>
              <w:overflowPunct/>
              <w:topLinePunct w:val="0"/>
              <w:bidi w:val="0"/>
              <w:spacing w:line="560" w:lineRule="exact"/>
              <w:jc w:val="left"/>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cs="Times New Roman"/>
                <w:i w:val="0"/>
                <w:iCs w:val="0"/>
                <w:color w:val="000000"/>
                <w:kern w:val="0"/>
                <w:sz w:val="18"/>
                <w:szCs w:val="18"/>
                <w:u w:val="none"/>
                <w:lang w:val="en-US" w:eastAsia="zh-CN" w:bidi="ar"/>
              </w:rPr>
              <w:t>1.5870</w:t>
            </w:r>
          </w:p>
        </w:tc>
        <w:tc>
          <w:tcPr>
            <w:tcW w:w="1076" w:type="pct"/>
            <w:shd w:val="clear" w:color="auto" w:fill="auto"/>
            <w:vAlign w:val="center"/>
          </w:tcPr>
          <w:p>
            <w:pPr>
              <w:keepNext w:val="0"/>
              <w:keepLines w:val="0"/>
              <w:pageBreakBefore w:val="0"/>
              <w:widowControl/>
              <w:suppressLineNumbers w:val="0"/>
              <w:overflowPunct/>
              <w:topLinePunct w:val="0"/>
              <w:bidi w:val="0"/>
              <w:spacing w:line="560" w:lineRule="exact"/>
              <w:jc w:val="left"/>
              <w:textAlignment w:val="center"/>
              <w:rPr>
                <w:rFonts w:hint="default" w:ascii="Times New Roman" w:hAnsi="Times New Roman" w:cs="Times New Roman"/>
                <w:i w:val="0"/>
                <w:iCs w:val="0"/>
                <w:color w:val="000000"/>
                <w:sz w:val="18"/>
                <w:szCs w:val="18"/>
                <w:u w:val="none"/>
                <w:lang w:val="en-US"/>
              </w:rPr>
            </w:pPr>
            <w:r>
              <w:rPr>
                <w:rFonts w:hint="eastAsia" w:cs="Times New Roman"/>
                <w:i w:val="0"/>
                <w:iCs w:val="0"/>
                <w:color w:val="000000"/>
                <w:kern w:val="0"/>
                <w:sz w:val="18"/>
                <w:szCs w:val="18"/>
                <w:u w:val="none"/>
                <w:lang w:val="en-US" w:eastAsia="zh-CN" w:bidi="ar"/>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93" w:hRule="atLeast"/>
        </w:trPr>
        <w:tc>
          <w:tcPr>
            <w:tcW w:w="3086" w:type="pct"/>
            <w:gridSpan w:val="4"/>
            <w:shd w:val="clear" w:color="auto" w:fill="auto"/>
            <w:vAlign w:val="center"/>
          </w:tcPr>
          <w:p>
            <w:pPr>
              <w:keepNext w:val="0"/>
              <w:keepLines w:val="0"/>
              <w:pageBreakBefore w:val="0"/>
              <w:widowControl/>
              <w:suppressLineNumbers w:val="0"/>
              <w:overflowPunct/>
              <w:topLinePunct w:val="0"/>
              <w:bidi w:val="0"/>
              <w:spacing w:line="560" w:lineRule="exact"/>
              <w:jc w:val="left"/>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合计</w:t>
            </w:r>
          </w:p>
        </w:tc>
        <w:tc>
          <w:tcPr>
            <w:tcW w:w="836" w:type="pct"/>
            <w:shd w:val="clear" w:color="auto" w:fill="auto"/>
            <w:vAlign w:val="center"/>
          </w:tcPr>
          <w:p>
            <w:pPr>
              <w:keepNext w:val="0"/>
              <w:keepLines w:val="0"/>
              <w:pageBreakBefore w:val="0"/>
              <w:widowControl/>
              <w:suppressLineNumbers w:val="0"/>
              <w:overflowPunct/>
              <w:topLinePunct w:val="0"/>
              <w:bidi w:val="0"/>
              <w:spacing w:line="560" w:lineRule="exact"/>
              <w:jc w:val="left"/>
              <w:textAlignment w:val="center"/>
              <w:rPr>
                <w:rFonts w:hint="default" w:ascii="Times New Roman" w:hAnsi="Times New Roman" w:cs="Times New Roman"/>
                <w:b/>
                <w:bCs/>
                <w:i w:val="0"/>
                <w:iCs w:val="0"/>
                <w:color w:val="000000"/>
                <w:sz w:val="21"/>
                <w:szCs w:val="21"/>
                <w:u w:val="none"/>
                <w:lang w:val="en-US"/>
              </w:rPr>
            </w:pPr>
            <w:r>
              <w:rPr>
                <w:rFonts w:hint="eastAsia" w:cs="Times New Roman"/>
                <w:b/>
                <w:bCs/>
                <w:i w:val="0"/>
                <w:iCs w:val="0"/>
                <w:color w:val="000000"/>
                <w:kern w:val="0"/>
                <w:sz w:val="21"/>
                <w:szCs w:val="21"/>
                <w:u w:val="none"/>
                <w:lang w:val="en-US" w:eastAsia="zh-CN" w:bidi="ar"/>
              </w:rPr>
              <w:t>1.5870</w:t>
            </w:r>
          </w:p>
        </w:tc>
        <w:tc>
          <w:tcPr>
            <w:tcW w:w="1076" w:type="pct"/>
            <w:shd w:val="clear" w:color="auto" w:fill="auto"/>
            <w:vAlign w:val="center"/>
          </w:tcPr>
          <w:p>
            <w:pPr>
              <w:keepNext w:val="0"/>
              <w:keepLines w:val="0"/>
              <w:pageBreakBefore w:val="0"/>
              <w:widowControl/>
              <w:suppressLineNumbers w:val="0"/>
              <w:overflowPunct/>
              <w:topLinePunct w:val="0"/>
              <w:bidi w:val="0"/>
              <w:spacing w:line="560" w:lineRule="exact"/>
              <w:jc w:val="left"/>
              <w:textAlignment w:val="center"/>
              <w:rPr>
                <w:rFonts w:hint="default" w:ascii="Times New Roman" w:hAnsi="Times New Roman"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100</w:t>
            </w:r>
          </w:p>
        </w:tc>
      </w:tr>
    </w:tbl>
    <w:p>
      <w:pPr>
        <w:keepNext w:val="0"/>
        <w:keepLines w:val="0"/>
        <w:pageBreakBefore w:val="0"/>
        <w:wordWrap/>
        <w:overflowPunct/>
        <w:topLinePunct w:val="0"/>
        <w:bidi w:val="0"/>
        <w:spacing w:before="120" w:beforeLines="50" w:after="120" w:afterLines="50" w:line="560" w:lineRule="exact"/>
        <w:jc w:val="left"/>
        <w:outlineLvl w:val="2"/>
        <w:rPr>
          <w:rFonts w:hint="default" w:ascii="Times New Roman" w:hAnsi="Times New Roman" w:eastAsia="方正仿宋_GBK" w:cs="Times New Roman"/>
          <w:b/>
          <w:bCs/>
          <w:sz w:val="32"/>
          <w:szCs w:val="32"/>
          <w:highlight w:val="none"/>
        </w:rPr>
      </w:pPr>
    </w:p>
    <w:p>
      <w:pPr>
        <w:keepNext w:val="0"/>
        <w:keepLines w:val="0"/>
        <w:pageBreakBefore w:val="0"/>
        <w:wordWrap/>
        <w:overflowPunct/>
        <w:topLinePunct w:val="0"/>
        <w:bidi w:val="0"/>
        <w:spacing w:before="120" w:beforeLines="50" w:after="120" w:afterLines="50" w:line="560" w:lineRule="exact"/>
        <w:ind w:firstLine="640" w:firstLineChars="200"/>
        <w:jc w:val="left"/>
        <w:outlineLvl w:val="2"/>
        <w:rPr>
          <w:rFonts w:hint="default" w:ascii="方正楷体_GBK" w:hAnsi="方正楷体_GBK" w:eastAsia="方正楷体_GBK" w:cs="方正楷体_GBK"/>
          <w:sz w:val="32"/>
          <w:szCs w:val="32"/>
        </w:rPr>
      </w:pPr>
      <w:bookmarkStart w:id="21" w:name="_Toc82249319"/>
      <w:r>
        <w:rPr>
          <w:rFonts w:hint="default" w:ascii="方正楷体_GBK" w:hAnsi="方正楷体_GBK" w:eastAsia="方正楷体_GBK" w:cs="方正楷体_GBK"/>
          <w:sz w:val="32"/>
          <w:szCs w:val="32"/>
        </w:rPr>
        <w:t>1.2.3土地损毁情况</w:t>
      </w:r>
      <w:bookmarkEnd w:id="21"/>
    </w:p>
    <w:p>
      <w:pPr>
        <w:keepNext w:val="0"/>
        <w:keepLines w:val="0"/>
        <w:pageBreakBefore w:val="0"/>
        <w:widowControl/>
        <w:suppressLineNumbers w:val="0"/>
        <w:kinsoku/>
        <w:wordWrap w:val="0"/>
        <w:overflowPunct/>
        <w:topLinePunct w:val="0"/>
        <w:autoSpaceDE/>
        <w:autoSpaceDN/>
        <w:bidi w:val="0"/>
        <w:adjustRightInd/>
        <w:snapToGrid/>
        <w:spacing w:line="560" w:lineRule="exact"/>
        <w:ind w:firstLine="620" w:firstLineChars="200"/>
        <w:jc w:val="left"/>
        <w:textAlignment w:val="auto"/>
        <w:rPr>
          <w:rFonts w:hint="default" w:ascii="Times New Roman" w:hAnsi="Times New Roman" w:eastAsia="方正仿宋_GBK" w:cs="Times New Roman"/>
          <w:snapToGrid/>
          <w:color w:val="auto"/>
          <w:spacing w:val="-5"/>
          <w:sz w:val="32"/>
          <w:szCs w:val="32"/>
          <w:lang w:val="en-US" w:eastAsia="zh-CN"/>
        </w:rPr>
      </w:pPr>
      <w:r>
        <w:rPr>
          <w:rFonts w:hint="eastAsia" w:ascii="Times New Roman" w:hAnsi="Times New Roman" w:eastAsia="方正仿宋_GBK" w:cs="Times New Roman"/>
          <w:snapToGrid/>
          <w:color w:val="auto"/>
          <w:spacing w:val="-5"/>
          <w:sz w:val="32"/>
          <w:szCs w:val="32"/>
          <w:lang w:val="en-US" w:eastAsia="zh-CN"/>
        </w:rPr>
        <w:t>本项目临时占地损毁土地总面积为1.5870公顷，其中主要包括建设项目实施期间设置的钻孔、槽探、临时便道等；根据2024年第三次全国土地调查成果，该项目临时占用土地面积共计1.5870公顷，截至目前，项目未进行建设，未对土地造成损毁。综上所述，在该项目实施过程中，对临时用地的损毁类型主要表现为压占和挖损；根据土地损毁程度评价标准表1-2，确定钻孔、槽探以及临时便道临时用地拟损毁土地损毁程度为中度。项目区土地损毁情况表见表1-3。</w:t>
      </w:r>
    </w:p>
    <w:p>
      <w:pPr>
        <w:keepNext w:val="0"/>
        <w:keepLines w:val="0"/>
        <w:pageBreakBefore w:val="0"/>
        <w:widowControl w:val="0"/>
        <w:kinsoku/>
        <w:overflowPunct/>
        <w:topLinePunct w:val="0"/>
        <w:bidi w:val="0"/>
        <w:snapToGrid/>
        <w:spacing w:line="560" w:lineRule="exact"/>
        <w:ind w:firstLineChars="200"/>
        <w:jc w:val="left"/>
        <w:textAlignment w:val="auto"/>
        <w:rPr>
          <w:rFonts w:hint="default" w:ascii="Times New Roman" w:hAnsi="Times New Roman" w:eastAsia="方正仿宋_GBK" w:cs="Times New Roman"/>
          <w:sz w:val="32"/>
          <w:szCs w:val="32"/>
          <w:lang w:eastAsia="zh-CN"/>
        </w:rPr>
      </w:pPr>
    </w:p>
    <w:p>
      <w:pPr>
        <w:keepNext w:val="0"/>
        <w:keepLines w:val="0"/>
        <w:pageBreakBefore w:val="0"/>
        <w:widowControl/>
        <w:suppressLineNumbers w:val="0"/>
        <w:kinsoku/>
        <w:wordWrap w:val="0"/>
        <w:overflowPunct/>
        <w:topLinePunct w:val="0"/>
        <w:autoSpaceDE/>
        <w:autoSpaceDN/>
        <w:bidi w:val="0"/>
        <w:adjustRightInd/>
        <w:snapToGrid/>
        <w:spacing w:line="560" w:lineRule="exact"/>
        <w:ind w:firstLine="2168" w:firstLineChars="900"/>
        <w:jc w:val="left"/>
        <w:textAlignment w:val="auto"/>
        <w:rPr>
          <w:rFonts w:hint="default" w:eastAsia="仿宋"/>
          <w:b/>
          <w:bCs/>
          <w:kern w:val="0"/>
          <w:sz w:val="24"/>
          <w:szCs w:val="24"/>
          <w:lang w:val="en-US" w:eastAsia="zh-CN"/>
        </w:rPr>
      </w:pPr>
      <w:r>
        <w:rPr>
          <w:rFonts w:hint="eastAsia" w:eastAsia="仿宋"/>
          <w:b/>
          <w:bCs/>
          <w:kern w:val="0"/>
          <w:sz w:val="24"/>
          <w:szCs w:val="24"/>
          <w:lang w:val="en-US" w:eastAsia="zh-CN"/>
        </w:rPr>
        <w:t>表1-2  土地损毁程度评价标准表</w:t>
      </w:r>
    </w:p>
    <w:tbl>
      <w:tblPr>
        <w:tblStyle w:val="12"/>
        <w:tblW w:w="8879"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04"/>
        <w:gridCol w:w="2081"/>
        <w:gridCol w:w="1100"/>
        <w:gridCol w:w="1620"/>
        <w:gridCol w:w="287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7" w:hRule="atLeast"/>
        </w:trPr>
        <w:tc>
          <w:tcPr>
            <w:tcW w:w="12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overflowPunct/>
              <w:topLinePunct w:val="0"/>
              <w:bidi w:val="0"/>
              <w:spacing w:line="56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土地损毁形式</w:t>
            </w:r>
          </w:p>
        </w:tc>
        <w:tc>
          <w:tcPr>
            <w:tcW w:w="20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overflowPunct/>
              <w:topLinePunct w:val="0"/>
              <w:bidi w:val="0"/>
              <w:spacing w:line="56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评价因子</w:t>
            </w:r>
          </w:p>
        </w:tc>
        <w:tc>
          <w:tcPr>
            <w:tcW w:w="55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overflowPunct/>
              <w:topLinePunct w:val="0"/>
              <w:bidi w:val="0"/>
              <w:spacing w:line="56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土地损毁程度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7" w:hRule="atLeast"/>
        </w:trPr>
        <w:tc>
          <w:tcPr>
            <w:tcW w:w="12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overflowPunct/>
              <w:topLinePunct w:val="0"/>
              <w:bidi w:val="0"/>
              <w:spacing w:line="560" w:lineRule="exact"/>
              <w:jc w:val="left"/>
              <w:rPr>
                <w:rFonts w:hint="eastAsia" w:ascii="宋体" w:hAnsi="宋体" w:eastAsia="宋体" w:cs="宋体"/>
                <w:i w:val="0"/>
                <w:iCs w:val="0"/>
                <w:color w:val="000000"/>
                <w:sz w:val="22"/>
                <w:szCs w:val="22"/>
                <w:u w:val="none"/>
              </w:rPr>
            </w:pPr>
          </w:p>
        </w:tc>
        <w:tc>
          <w:tcPr>
            <w:tcW w:w="2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overflowPunct/>
              <w:topLinePunct w:val="0"/>
              <w:bidi w:val="0"/>
              <w:spacing w:line="560" w:lineRule="exact"/>
              <w:jc w:val="left"/>
              <w:rPr>
                <w:rFonts w:hint="eastAsia" w:ascii="宋体" w:hAnsi="宋体" w:eastAsia="宋体" w:cs="宋体"/>
                <w:i w:val="0"/>
                <w:iCs w:val="0"/>
                <w:color w:val="000000"/>
                <w:sz w:val="22"/>
                <w:szCs w:val="22"/>
                <w:u w:val="none"/>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overflowPunct/>
              <w:topLinePunct w:val="0"/>
              <w:bidi w:val="0"/>
              <w:spacing w:line="56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轻度</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overflowPunct/>
              <w:topLinePunct w:val="0"/>
              <w:bidi w:val="0"/>
              <w:spacing w:line="56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中度</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overflowPunct/>
              <w:topLinePunct w:val="0"/>
              <w:bidi w:val="0"/>
              <w:spacing w:line="56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重度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7" w:hRule="atLeast"/>
        </w:trPr>
        <w:tc>
          <w:tcPr>
            <w:tcW w:w="12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overflowPunct/>
              <w:topLinePunct w:val="0"/>
              <w:bidi w:val="0"/>
              <w:spacing w:line="56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压占、挖损</w:t>
            </w:r>
          </w:p>
        </w:tc>
        <w:tc>
          <w:tcPr>
            <w:tcW w:w="20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overflowPunct/>
              <w:topLinePunct w:val="0"/>
              <w:bidi w:val="0"/>
              <w:spacing w:line="56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表土层损毁厚度</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overflowPunct/>
              <w:topLinePunct w:val="0"/>
              <w:bidi w:val="0"/>
              <w:spacing w:line="56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&lt;10cm</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overflowPunct/>
              <w:topLinePunct w:val="0"/>
              <w:bidi w:val="0"/>
              <w:spacing w:line="56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20cm</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overflowPunct/>
              <w:topLinePunct w:val="0"/>
              <w:bidi w:val="0"/>
              <w:spacing w:line="56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&gt;20cm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7" w:hRule="atLeast"/>
        </w:trPr>
        <w:tc>
          <w:tcPr>
            <w:tcW w:w="12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overflowPunct/>
              <w:topLinePunct w:val="0"/>
              <w:bidi w:val="0"/>
              <w:spacing w:line="560" w:lineRule="exact"/>
              <w:jc w:val="left"/>
              <w:rPr>
                <w:rFonts w:hint="eastAsia" w:ascii="宋体" w:hAnsi="宋体" w:eastAsia="宋体" w:cs="宋体"/>
                <w:i w:val="0"/>
                <w:iCs w:val="0"/>
                <w:color w:val="000000"/>
                <w:sz w:val="22"/>
                <w:szCs w:val="22"/>
                <w:u w:val="none"/>
              </w:rPr>
            </w:pPr>
          </w:p>
        </w:tc>
        <w:tc>
          <w:tcPr>
            <w:tcW w:w="20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overflowPunct/>
              <w:topLinePunct w:val="0"/>
              <w:bidi w:val="0"/>
              <w:spacing w:line="56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坡度</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overflowPunct/>
              <w:topLinePunct w:val="0"/>
              <w:bidi w:val="0"/>
              <w:spacing w:line="56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&lt;6°</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overflowPunct/>
              <w:topLinePunct w:val="0"/>
              <w:bidi w:val="0"/>
              <w:spacing w:line="56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6-15°</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overflowPunct/>
              <w:topLinePunct w:val="0"/>
              <w:bidi w:val="0"/>
              <w:spacing w:line="56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&gt;15°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54" w:hRule="atLeast"/>
        </w:trPr>
        <w:tc>
          <w:tcPr>
            <w:tcW w:w="12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overflowPunct/>
              <w:topLinePunct w:val="0"/>
              <w:bidi w:val="0"/>
              <w:spacing w:line="560" w:lineRule="exact"/>
              <w:jc w:val="left"/>
              <w:rPr>
                <w:rFonts w:hint="eastAsia" w:ascii="宋体" w:hAnsi="宋体" w:eastAsia="宋体" w:cs="宋体"/>
                <w:i w:val="0"/>
                <w:iCs w:val="0"/>
                <w:color w:val="000000"/>
                <w:sz w:val="22"/>
                <w:szCs w:val="22"/>
                <w:u w:val="none"/>
              </w:rPr>
            </w:pPr>
          </w:p>
        </w:tc>
        <w:tc>
          <w:tcPr>
            <w:tcW w:w="20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overflowPunct/>
              <w:topLinePunct w:val="0"/>
              <w:bidi w:val="0"/>
              <w:spacing w:line="56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压占物</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overflowPunct/>
              <w:topLinePunct w:val="0"/>
              <w:bidi w:val="0"/>
              <w:spacing w:line="56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原始土壤</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overflowPunct/>
              <w:topLinePunct w:val="0"/>
              <w:bidi w:val="0"/>
              <w:spacing w:line="56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原始土壤和岩石混合物</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overflowPunct/>
              <w:topLinePunct w:val="0"/>
              <w:bidi w:val="0"/>
              <w:spacing w:line="56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岩土、砾石、建筑物、建筑垃圾</w:t>
            </w:r>
          </w:p>
        </w:tc>
      </w:tr>
    </w:tbl>
    <w:p>
      <w:pPr>
        <w:keepNext w:val="0"/>
        <w:keepLines w:val="0"/>
        <w:pageBreakBefore w:val="0"/>
        <w:overflowPunct/>
        <w:topLinePunct w:val="0"/>
        <w:bidi w:val="0"/>
        <w:spacing w:line="560" w:lineRule="exact"/>
        <w:jc w:val="left"/>
        <w:rPr>
          <w:rFonts w:eastAsia="黑体"/>
        </w:rPr>
      </w:pPr>
    </w:p>
    <w:p>
      <w:pPr>
        <w:pStyle w:val="2"/>
        <w:rPr>
          <w:rFonts w:eastAsia="黑体"/>
        </w:rPr>
      </w:pPr>
    </w:p>
    <w:p>
      <w:pPr>
        <w:pStyle w:val="2"/>
        <w:rPr>
          <w:rFonts w:eastAsia="黑体"/>
        </w:rPr>
      </w:pPr>
    </w:p>
    <w:p>
      <w:pPr>
        <w:pStyle w:val="2"/>
        <w:rPr>
          <w:rFonts w:eastAsia="黑体"/>
        </w:rPr>
      </w:pPr>
    </w:p>
    <w:p>
      <w:pPr>
        <w:keepNext w:val="0"/>
        <w:keepLines w:val="0"/>
        <w:pageBreakBefore w:val="0"/>
        <w:widowControl/>
        <w:suppressLineNumbers w:val="0"/>
        <w:kinsoku/>
        <w:wordWrap w:val="0"/>
        <w:overflowPunct/>
        <w:topLinePunct w:val="0"/>
        <w:autoSpaceDE/>
        <w:autoSpaceDN/>
        <w:bidi w:val="0"/>
        <w:adjustRightInd/>
        <w:snapToGrid/>
        <w:spacing w:line="560" w:lineRule="exact"/>
        <w:ind w:firstLine="2168" w:firstLineChars="900"/>
        <w:jc w:val="left"/>
        <w:textAlignment w:val="auto"/>
        <w:rPr>
          <w:rFonts w:hint="eastAsia" w:ascii="Times New Roman" w:hAnsi="Times New Roman" w:eastAsia="仿宋" w:cs="Times New Roman"/>
          <w:b/>
          <w:bCs/>
          <w:kern w:val="0"/>
          <w:sz w:val="24"/>
          <w:szCs w:val="24"/>
          <w:lang w:val="en-US" w:eastAsia="zh-CN"/>
        </w:rPr>
      </w:pPr>
      <w:r>
        <w:rPr>
          <w:rFonts w:hint="eastAsia" w:ascii="Times New Roman" w:hAnsi="Times New Roman" w:eastAsia="仿宋" w:cs="Times New Roman"/>
          <w:b/>
          <w:bCs/>
          <w:kern w:val="0"/>
          <w:sz w:val="24"/>
          <w:szCs w:val="24"/>
          <w:lang w:val="en-US" w:eastAsia="zh-CN"/>
        </w:rPr>
        <w:t>表1-3   项目区土地损毁情况表</w:t>
      </w:r>
    </w:p>
    <w:tbl>
      <w:tblPr>
        <w:tblStyle w:val="12"/>
        <w:tblW w:w="8918"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09"/>
        <w:gridCol w:w="2091"/>
        <w:gridCol w:w="1105"/>
        <w:gridCol w:w="1628"/>
        <w:gridCol w:w="288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15" w:hRule="atLeast"/>
        </w:trPr>
        <w:tc>
          <w:tcPr>
            <w:tcW w:w="1209"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overflowPunct/>
              <w:topLinePunct w:val="0"/>
              <w:bidi w:val="0"/>
              <w:spacing w:line="560" w:lineRule="exact"/>
              <w:jc w:val="left"/>
              <w:textAlignment w:val="center"/>
              <w:rPr>
                <w:rFonts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一级评价单元</w:t>
            </w:r>
          </w:p>
        </w:tc>
        <w:tc>
          <w:tcPr>
            <w:tcW w:w="2091"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overflowPunct/>
              <w:topLinePunct w:val="0"/>
              <w:bidi w:val="0"/>
              <w:spacing w:line="560" w:lineRule="exact"/>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土地类型</w:t>
            </w:r>
          </w:p>
        </w:tc>
        <w:tc>
          <w:tcPr>
            <w:tcW w:w="1105"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overflowPunct/>
              <w:topLinePunct w:val="0"/>
              <w:bidi w:val="0"/>
              <w:spacing w:line="560" w:lineRule="exact"/>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损毁方式</w:t>
            </w:r>
          </w:p>
        </w:tc>
        <w:tc>
          <w:tcPr>
            <w:tcW w:w="1628"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overflowPunct/>
              <w:topLinePunct w:val="0"/>
              <w:bidi w:val="0"/>
              <w:spacing w:line="560" w:lineRule="exact"/>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损毁程度</w:t>
            </w:r>
          </w:p>
        </w:tc>
        <w:tc>
          <w:tcPr>
            <w:tcW w:w="2885"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overflowPunct/>
              <w:topLinePunct w:val="0"/>
              <w:bidi w:val="0"/>
              <w:spacing w:line="560" w:lineRule="exact"/>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损毁面积hm2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11" w:hRule="atLeast"/>
        </w:trPr>
        <w:tc>
          <w:tcPr>
            <w:tcW w:w="1209"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overflowPunct/>
              <w:topLinePunct w:val="0"/>
              <w:bidi w:val="0"/>
              <w:spacing w:line="560" w:lineRule="exact"/>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钻孔、槽探以及临时便道临时用地</w:t>
            </w:r>
          </w:p>
        </w:tc>
        <w:tc>
          <w:tcPr>
            <w:tcW w:w="2091"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overflowPunct/>
              <w:topLinePunct w:val="0"/>
              <w:bidi w:val="0"/>
              <w:spacing w:line="560" w:lineRule="exact"/>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裸岩石砾地</w:t>
            </w:r>
          </w:p>
        </w:tc>
        <w:tc>
          <w:tcPr>
            <w:tcW w:w="1105"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overflowPunct/>
              <w:topLinePunct w:val="0"/>
              <w:bidi w:val="0"/>
              <w:spacing w:line="560" w:lineRule="exact"/>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挖损、压占</w:t>
            </w:r>
          </w:p>
        </w:tc>
        <w:tc>
          <w:tcPr>
            <w:tcW w:w="1628"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overflowPunct/>
              <w:topLinePunct w:val="0"/>
              <w:bidi w:val="0"/>
              <w:spacing w:line="560" w:lineRule="exact"/>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中度</w:t>
            </w:r>
          </w:p>
        </w:tc>
        <w:tc>
          <w:tcPr>
            <w:tcW w:w="2885"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overflowPunct/>
              <w:topLinePunct w:val="0"/>
              <w:bidi w:val="0"/>
              <w:spacing w:line="560" w:lineRule="exact"/>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1.5870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4" w:hRule="atLeast"/>
        </w:trPr>
        <w:tc>
          <w:tcPr>
            <w:tcW w:w="3300" w:type="dxa"/>
            <w:gridSpan w:val="2"/>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overflowPunct/>
              <w:topLinePunct w:val="0"/>
              <w:bidi w:val="0"/>
              <w:spacing w:line="560" w:lineRule="exact"/>
              <w:jc w:val="left"/>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合计</w:t>
            </w:r>
          </w:p>
        </w:tc>
        <w:tc>
          <w:tcPr>
            <w:tcW w:w="1105"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overflowPunct/>
              <w:topLinePunct w:val="0"/>
              <w:bidi w:val="0"/>
              <w:spacing w:line="560" w:lineRule="exact"/>
              <w:jc w:val="left"/>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w:t>
            </w:r>
          </w:p>
        </w:tc>
        <w:tc>
          <w:tcPr>
            <w:tcW w:w="1628"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overflowPunct/>
              <w:topLinePunct w:val="0"/>
              <w:bidi w:val="0"/>
              <w:spacing w:line="560" w:lineRule="exact"/>
              <w:jc w:val="left"/>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w:t>
            </w:r>
          </w:p>
        </w:tc>
        <w:tc>
          <w:tcPr>
            <w:tcW w:w="2885"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overflowPunct/>
              <w:topLinePunct w:val="0"/>
              <w:bidi w:val="0"/>
              <w:spacing w:line="560" w:lineRule="exact"/>
              <w:jc w:val="left"/>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1.5870</w:t>
            </w:r>
          </w:p>
        </w:tc>
      </w:tr>
    </w:tbl>
    <w:p>
      <w:pPr>
        <w:keepNext w:val="0"/>
        <w:keepLines w:val="0"/>
        <w:pageBreakBefore w:val="0"/>
        <w:widowControl w:val="0"/>
        <w:kinsoku/>
        <w:overflowPunct/>
        <w:topLinePunct w:val="0"/>
        <w:autoSpaceDE/>
        <w:autoSpaceDN/>
        <w:bidi w:val="0"/>
        <w:adjustRightInd/>
        <w:snapToGrid/>
        <w:spacing w:line="560" w:lineRule="exact"/>
        <w:jc w:val="left"/>
        <w:textAlignment w:val="auto"/>
        <w:rPr>
          <w:rFonts w:ascii="Times New Roman" w:hAnsi="Times New Roman" w:eastAsia="黑体" w:cs="Times New Roman"/>
          <w:lang w:eastAsia="zh-CN"/>
        </w:rPr>
      </w:pPr>
      <w:r>
        <w:rPr>
          <w:rFonts w:hint="eastAsia" w:ascii="Times New Roman" w:hAnsi="Times New Roman" w:eastAsia="黑体" w:cs="Times New Roman"/>
          <w:sz w:val="30"/>
          <w:szCs w:val="30"/>
          <w:lang w:eastAsia="zh-CN"/>
        </w:rPr>
        <w:t xml:space="preserve"> </w:t>
      </w:r>
    </w:p>
    <w:p>
      <w:pPr>
        <w:keepNext w:val="0"/>
        <w:keepLines w:val="0"/>
        <w:pageBreakBefore w:val="0"/>
        <w:wordWrap/>
        <w:overflowPunct/>
        <w:topLinePunct w:val="0"/>
        <w:bidi w:val="0"/>
        <w:adjustRightInd w:val="0"/>
        <w:spacing w:line="560" w:lineRule="exact"/>
        <w:ind w:firstLine="640" w:firstLineChars="200"/>
        <w:jc w:val="left"/>
        <w:rPr>
          <w:rFonts w:hint="default" w:ascii="Times New Roman" w:hAnsi="Times New Roman" w:eastAsia="方正黑体_GBK" w:cs="Times New Roman"/>
          <w:b w:val="0"/>
          <w:bCs w:val="0"/>
          <w:snapToGrid w:val="0"/>
          <w:color w:val="000000"/>
          <w:kern w:val="0"/>
          <w:sz w:val="32"/>
          <w:szCs w:val="32"/>
          <w:lang w:val="en-US" w:eastAsia="zh-CN" w:bidi="ar-SA"/>
        </w:rPr>
      </w:pPr>
      <w:r>
        <w:rPr>
          <w:rFonts w:hint="default" w:ascii="Times New Roman" w:hAnsi="Times New Roman" w:eastAsia="方正黑体_GBK" w:cs="Times New Roman"/>
          <w:b w:val="0"/>
          <w:bCs w:val="0"/>
          <w:snapToGrid w:val="0"/>
          <w:color w:val="000000"/>
          <w:kern w:val="0"/>
          <w:sz w:val="32"/>
          <w:szCs w:val="32"/>
          <w:lang w:val="en-US" w:eastAsia="zh-CN" w:bidi="ar-SA"/>
        </w:rPr>
        <w:t>1.2.4土地复垦目标</w:t>
      </w:r>
    </w:p>
    <w:p>
      <w:pPr>
        <w:keepNext w:val="0"/>
        <w:keepLines w:val="0"/>
        <w:pageBreakBefore w:val="0"/>
        <w:widowControl/>
        <w:suppressLineNumbers w:val="0"/>
        <w:kinsoku/>
        <w:wordWrap w:val="0"/>
        <w:overflowPunct/>
        <w:topLinePunct w:val="0"/>
        <w:autoSpaceDE/>
        <w:autoSpaceDN/>
        <w:bidi w:val="0"/>
        <w:adjustRightInd/>
        <w:snapToGrid/>
        <w:spacing w:line="560" w:lineRule="exact"/>
        <w:ind w:firstLine="620" w:firstLineChars="200"/>
        <w:jc w:val="left"/>
        <w:textAlignment w:val="auto"/>
        <w:rPr>
          <w:rFonts w:hint="default" w:ascii="Times New Roman" w:hAnsi="Times New Roman" w:eastAsia="方正仿宋_GBK" w:cs="Times New Roman"/>
          <w:spacing w:val="-5"/>
          <w:sz w:val="32"/>
          <w:szCs w:val="32"/>
          <w:lang w:eastAsia="zh-CN"/>
        </w:rPr>
      </w:pPr>
      <w:r>
        <w:rPr>
          <w:rFonts w:hint="eastAsia" w:ascii="Times New Roman" w:hAnsi="Times New Roman" w:eastAsia="方正仿宋_GBK" w:cs="Times New Roman"/>
          <w:snapToGrid/>
          <w:color w:val="auto"/>
          <w:spacing w:val="-5"/>
          <w:sz w:val="32"/>
          <w:szCs w:val="32"/>
          <w:lang w:val="en-US" w:eastAsia="zh-CN"/>
        </w:rPr>
        <w:t>在尽量确保复垦方向与土地利用总体规划、周边景观保持一致的情况下，根据土地复垦适宜性评价结果，结合项目区自然环境特征，确定项目区最终的土地复垦方向、复垦面积及土地复垦率。本方案土地复垦目标为恢复原有地类，本方案复垦区责任范围面积1.5870公顷，拟复垦土地面积1.5870公顷，土地复垦率为100%。本方案复垦前后土地利用结构调整表见1-4。</w:t>
      </w:r>
    </w:p>
    <w:p>
      <w:pPr>
        <w:keepNext w:val="0"/>
        <w:keepLines w:val="0"/>
        <w:pageBreakBefore w:val="0"/>
        <w:overflowPunct/>
        <w:topLinePunct w:val="0"/>
        <w:bidi w:val="0"/>
        <w:spacing w:line="560" w:lineRule="exact"/>
        <w:jc w:val="left"/>
        <w:rPr>
          <w:rFonts w:eastAsia="黑体"/>
        </w:rPr>
      </w:pPr>
      <w:r>
        <w:rPr>
          <w:rFonts w:eastAsia="黑体"/>
        </w:rPr>
        <w:t>表1-</w:t>
      </w:r>
      <w:r>
        <w:rPr>
          <w:rFonts w:hint="eastAsia" w:eastAsia="黑体"/>
          <w:lang w:val="en-US" w:eastAsia="zh-CN"/>
        </w:rPr>
        <w:t>4</w:t>
      </w:r>
      <w:r>
        <w:rPr>
          <w:rFonts w:eastAsia="黑体"/>
        </w:rPr>
        <w:t xml:space="preserve">   复垦前后土地利用结构调整表</w:t>
      </w:r>
    </w:p>
    <w:tbl>
      <w:tblPr>
        <w:tblStyle w:val="12"/>
        <w:tblW w:w="8299"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998"/>
        <w:gridCol w:w="1559"/>
        <w:gridCol w:w="1758"/>
        <w:gridCol w:w="1758"/>
        <w:gridCol w:w="1226"/>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064" w:hRule="atLeast"/>
          <w:jc w:val="center"/>
        </w:trPr>
        <w:tc>
          <w:tcPr>
            <w:tcW w:w="1998" w:type="dxa"/>
            <w:vAlign w:val="center"/>
          </w:tcPr>
          <w:p>
            <w:pPr>
              <w:keepNext w:val="0"/>
              <w:keepLines w:val="0"/>
              <w:pageBreakBefore w:val="0"/>
              <w:widowControl/>
              <w:suppressLineNumbers w:val="0"/>
              <w:overflowPunct/>
              <w:topLinePunct w:val="0"/>
              <w:bidi w:val="0"/>
              <w:spacing w:line="560" w:lineRule="exact"/>
              <w:jc w:val="left"/>
              <w:textAlignment w:val="center"/>
              <w:rPr>
                <w:rFonts w:hint="eastAsia" w:ascii="仿宋" w:hAnsi="仿宋" w:eastAsia="仿宋" w:cs="仿宋"/>
                <w:i w:val="0"/>
                <w:iCs w:val="0"/>
                <w:color w:val="000000"/>
                <w:kern w:val="0"/>
                <w:sz w:val="18"/>
                <w:szCs w:val="18"/>
                <w:u w:val="none"/>
                <w:lang w:val="en-US" w:eastAsia="zh-CN" w:bidi="ar"/>
              </w:rPr>
            </w:pPr>
            <w:bookmarkStart w:id="22" w:name="_Hlk108276849"/>
            <w:r>
              <w:rPr>
                <w:rFonts w:hint="eastAsia" w:ascii="仿宋" w:hAnsi="仿宋" w:eastAsia="仿宋" w:cs="仿宋"/>
                <w:i w:val="0"/>
                <w:iCs w:val="0"/>
                <w:color w:val="000000"/>
                <w:kern w:val="0"/>
                <w:sz w:val="18"/>
                <w:szCs w:val="18"/>
                <w:u w:val="none"/>
                <w:lang w:val="en-US" w:eastAsia="zh-CN" w:bidi="ar"/>
              </w:rPr>
              <w:t>复垦前二级地类</w:t>
            </w:r>
          </w:p>
        </w:tc>
        <w:tc>
          <w:tcPr>
            <w:tcW w:w="1559" w:type="dxa"/>
            <w:vAlign w:val="center"/>
          </w:tcPr>
          <w:p>
            <w:pPr>
              <w:keepNext w:val="0"/>
              <w:keepLines w:val="0"/>
              <w:pageBreakBefore w:val="0"/>
              <w:widowControl/>
              <w:suppressLineNumbers w:val="0"/>
              <w:overflowPunct/>
              <w:topLinePunct w:val="0"/>
              <w:bidi w:val="0"/>
              <w:spacing w:line="560" w:lineRule="exact"/>
              <w:jc w:val="left"/>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复垦前/hm</w:t>
            </w:r>
            <w:r>
              <w:rPr>
                <w:rFonts w:hint="eastAsia" w:ascii="仿宋" w:hAnsi="仿宋" w:eastAsia="仿宋" w:cs="仿宋"/>
                <w:i w:val="0"/>
                <w:iCs w:val="0"/>
                <w:color w:val="000000"/>
                <w:kern w:val="0"/>
                <w:sz w:val="18"/>
                <w:szCs w:val="18"/>
                <w:u w:val="none"/>
                <w:vertAlign w:val="superscript"/>
                <w:lang w:val="en-US" w:eastAsia="zh-CN" w:bidi="ar"/>
              </w:rPr>
              <w:t>2</w:t>
            </w:r>
          </w:p>
        </w:tc>
        <w:tc>
          <w:tcPr>
            <w:tcW w:w="1758" w:type="dxa"/>
            <w:vAlign w:val="center"/>
          </w:tcPr>
          <w:p>
            <w:pPr>
              <w:keepNext w:val="0"/>
              <w:keepLines w:val="0"/>
              <w:pageBreakBefore w:val="0"/>
              <w:widowControl/>
              <w:suppressLineNumbers w:val="0"/>
              <w:overflowPunct/>
              <w:topLinePunct w:val="0"/>
              <w:bidi w:val="0"/>
              <w:spacing w:line="560" w:lineRule="exact"/>
              <w:jc w:val="left"/>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复垦后二级地类</w:t>
            </w:r>
          </w:p>
        </w:tc>
        <w:tc>
          <w:tcPr>
            <w:tcW w:w="1758" w:type="dxa"/>
            <w:vAlign w:val="center"/>
          </w:tcPr>
          <w:p>
            <w:pPr>
              <w:keepNext w:val="0"/>
              <w:keepLines w:val="0"/>
              <w:pageBreakBefore w:val="0"/>
              <w:widowControl/>
              <w:suppressLineNumbers w:val="0"/>
              <w:overflowPunct/>
              <w:topLinePunct w:val="0"/>
              <w:bidi w:val="0"/>
              <w:spacing w:line="560" w:lineRule="exact"/>
              <w:jc w:val="left"/>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复垦后/hm</w:t>
            </w:r>
            <w:r>
              <w:rPr>
                <w:rFonts w:hint="eastAsia" w:ascii="仿宋" w:hAnsi="仿宋" w:eastAsia="仿宋" w:cs="仿宋"/>
                <w:i w:val="0"/>
                <w:iCs w:val="0"/>
                <w:color w:val="000000"/>
                <w:kern w:val="0"/>
                <w:sz w:val="18"/>
                <w:szCs w:val="18"/>
                <w:u w:val="none"/>
                <w:vertAlign w:val="superscript"/>
                <w:lang w:val="en-US" w:eastAsia="zh-CN" w:bidi="ar"/>
              </w:rPr>
              <w:t>2</w:t>
            </w:r>
          </w:p>
        </w:tc>
        <w:tc>
          <w:tcPr>
            <w:tcW w:w="1226" w:type="dxa"/>
            <w:vAlign w:val="center"/>
          </w:tcPr>
          <w:p>
            <w:pPr>
              <w:keepNext w:val="0"/>
              <w:keepLines w:val="0"/>
              <w:pageBreakBefore w:val="0"/>
              <w:widowControl/>
              <w:suppressLineNumbers w:val="0"/>
              <w:overflowPunct/>
              <w:topLinePunct w:val="0"/>
              <w:bidi w:val="0"/>
              <w:spacing w:line="560" w:lineRule="exact"/>
              <w:jc w:val="left"/>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变幅/%</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076" w:hRule="atLeast"/>
          <w:jc w:val="center"/>
        </w:trPr>
        <w:tc>
          <w:tcPr>
            <w:tcW w:w="1998" w:type="dxa"/>
            <w:vAlign w:val="center"/>
          </w:tcPr>
          <w:p>
            <w:pPr>
              <w:keepNext w:val="0"/>
              <w:keepLines w:val="0"/>
              <w:pageBreakBefore w:val="0"/>
              <w:widowControl/>
              <w:suppressLineNumbers w:val="0"/>
              <w:overflowPunct/>
              <w:topLinePunct w:val="0"/>
              <w:bidi w:val="0"/>
              <w:spacing w:line="560" w:lineRule="exact"/>
              <w:jc w:val="left"/>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裸岩石砾地</w:t>
            </w:r>
          </w:p>
        </w:tc>
        <w:tc>
          <w:tcPr>
            <w:tcW w:w="1559" w:type="dxa"/>
            <w:vAlign w:val="center"/>
          </w:tcPr>
          <w:p>
            <w:pPr>
              <w:keepNext w:val="0"/>
              <w:keepLines w:val="0"/>
              <w:pageBreakBefore w:val="0"/>
              <w:widowControl/>
              <w:suppressLineNumbers w:val="0"/>
              <w:overflowPunct/>
              <w:topLinePunct w:val="0"/>
              <w:bidi w:val="0"/>
              <w:spacing w:line="560" w:lineRule="exact"/>
              <w:jc w:val="left"/>
              <w:textAlignment w:val="center"/>
              <w:rPr>
                <w:rFonts w:hint="default"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1.5870</w:t>
            </w:r>
          </w:p>
        </w:tc>
        <w:tc>
          <w:tcPr>
            <w:tcW w:w="1758" w:type="dxa"/>
            <w:vAlign w:val="center"/>
          </w:tcPr>
          <w:p>
            <w:pPr>
              <w:keepNext w:val="0"/>
              <w:keepLines w:val="0"/>
              <w:pageBreakBefore w:val="0"/>
              <w:widowControl/>
              <w:suppressLineNumbers w:val="0"/>
              <w:overflowPunct/>
              <w:topLinePunct w:val="0"/>
              <w:bidi w:val="0"/>
              <w:spacing w:line="560" w:lineRule="exact"/>
              <w:jc w:val="left"/>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裸岩石砾地</w:t>
            </w:r>
          </w:p>
        </w:tc>
        <w:tc>
          <w:tcPr>
            <w:tcW w:w="1758" w:type="dxa"/>
            <w:vAlign w:val="center"/>
          </w:tcPr>
          <w:p>
            <w:pPr>
              <w:keepNext w:val="0"/>
              <w:keepLines w:val="0"/>
              <w:pageBreakBefore w:val="0"/>
              <w:widowControl/>
              <w:suppressLineNumbers w:val="0"/>
              <w:overflowPunct/>
              <w:topLinePunct w:val="0"/>
              <w:bidi w:val="0"/>
              <w:spacing w:line="560" w:lineRule="exact"/>
              <w:jc w:val="left"/>
              <w:textAlignment w:val="center"/>
              <w:rPr>
                <w:rFonts w:hint="default"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1.5870</w:t>
            </w:r>
          </w:p>
        </w:tc>
        <w:tc>
          <w:tcPr>
            <w:tcW w:w="1226" w:type="dxa"/>
            <w:vAlign w:val="center"/>
          </w:tcPr>
          <w:p>
            <w:pPr>
              <w:keepNext w:val="0"/>
              <w:keepLines w:val="0"/>
              <w:pageBreakBefore w:val="0"/>
              <w:widowControl/>
              <w:suppressLineNumbers w:val="0"/>
              <w:overflowPunct/>
              <w:topLinePunct w:val="0"/>
              <w:bidi w:val="0"/>
              <w:spacing w:line="560" w:lineRule="exact"/>
              <w:jc w:val="left"/>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0%</w:t>
            </w:r>
          </w:p>
        </w:tc>
      </w:tr>
      <w:bookmarkEnd w:id="22"/>
    </w:tbl>
    <w:p>
      <w:pPr>
        <w:keepNext w:val="0"/>
        <w:keepLines w:val="0"/>
        <w:pageBreakBefore w:val="0"/>
        <w:wordWrap/>
        <w:overflowPunct/>
        <w:topLinePunct w:val="0"/>
        <w:bidi w:val="0"/>
        <w:adjustRightInd w:val="0"/>
        <w:spacing w:line="560" w:lineRule="exact"/>
        <w:jc w:val="left"/>
        <w:rPr>
          <w:rFonts w:hint="default" w:ascii="Times New Roman" w:hAnsi="Times New Roman" w:eastAsia="方正仿宋_GBK" w:cs="Times New Roman"/>
          <w:b/>
          <w:sz w:val="32"/>
          <w:szCs w:val="32"/>
          <w:lang w:val="en-US" w:eastAsia="zh-CN"/>
        </w:rPr>
      </w:pPr>
    </w:p>
    <w:p>
      <w:pPr>
        <w:pStyle w:val="2"/>
        <w:rPr>
          <w:rFonts w:hint="default"/>
          <w:lang w:val="en-US" w:eastAsia="zh-CN"/>
        </w:rPr>
      </w:pPr>
    </w:p>
    <w:p>
      <w:pPr>
        <w:keepNext w:val="0"/>
        <w:keepLines w:val="0"/>
        <w:pageBreakBefore w:val="0"/>
        <w:wordWrap/>
        <w:overflowPunct/>
        <w:topLinePunct w:val="0"/>
        <w:bidi w:val="0"/>
        <w:adjustRightInd w:val="0"/>
        <w:spacing w:line="560" w:lineRule="exact"/>
        <w:ind w:firstLine="640" w:firstLineChars="200"/>
        <w:jc w:val="left"/>
        <w:rPr>
          <w:rFonts w:hint="default" w:ascii="Times New Roman" w:hAnsi="Times New Roman" w:eastAsia="方正黑体_GBK" w:cs="Times New Roman"/>
          <w:b w:val="0"/>
          <w:bCs w:val="0"/>
          <w:snapToGrid w:val="0"/>
          <w:color w:val="000000"/>
          <w:kern w:val="0"/>
          <w:sz w:val="32"/>
          <w:szCs w:val="32"/>
          <w:lang w:val="en-US" w:eastAsia="zh-CN" w:bidi="ar-SA"/>
        </w:rPr>
      </w:pPr>
      <w:r>
        <w:rPr>
          <w:rFonts w:hint="default" w:ascii="Times New Roman" w:hAnsi="Times New Roman" w:eastAsia="方正黑体_GBK" w:cs="Times New Roman"/>
          <w:b w:val="0"/>
          <w:bCs w:val="0"/>
          <w:snapToGrid w:val="0"/>
          <w:color w:val="000000"/>
          <w:kern w:val="0"/>
          <w:sz w:val="32"/>
          <w:szCs w:val="32"/>
          <w:lang w:val="en-US" w:eastAsia="zh-CN" w:bidi="ar-SA"/>
        </w:rPr>
        <w:t>1.2.5复垦的投资情况</w:t>
      </w:r>
    </w:p>
    <w:p>
      <w:pPr>
        <w:pStyle w:val="19"/>
        <w:keepNext w:val="0"/>
        <w:keepLines w:val="0"/>
        <w:pageBreakBefore w:val="0"/>
        <w:overflowPunct/>
        <w:topLinePunct w:val="0"/>
        <w:bidi w:val="0"/>
        <w:spacing w:line="560" w:lineRule="exact"/>
        <w:ind w:firstLine="620" w:firstLineChars="200"/>
        <w:jc w:val="left"/>
        <w:textAlignment w:val="center"/>
        <w:rPr>
          <w:rFonts w:hint="eastAsia" w:ascii="Times New Roman" w:hAnsi="Times New Roman" w:eastAsia="方正仿宋_GBK" w:cs="Times New Roman"/>
          <w:snapToGrid/>
          <w:color w:val="auto"/>
          <w:spacing w:val="-5"/>
          <w:kern w:val="0"/>
          <w:sz w:val="32"/>
          <w:szCs w:val="32"/>
          <w:lang w:val="en-US" w:eastAsia="zh-CN" w:bidi="ar-SA"/>
        </w:rPr>
      </w:pPr>
      <w:r>
        <w:rPr>
          <w:rFonts w:hint="eastAsia" w:ascii="Times New Roman" w:hAnsi="Times New Roman" w:eastAsia="方正仿宋_GBK" w:cs="Times New Roman"/>
          <w:snapToGrid/>
          <w:color w:val="auto"/>
          <w:spacing w:val="-5"/>
          <w:kern w:val="0"/>
          <w:sz w:val="32"/>
          <w:szCs w:val="32"/>
          <w:lang w:val="en-US" w:eastAsia="zh-CN" w:bidi="ar-SA"/>
        </w:rPr>
        <w:t>复垦静态总投资4.7826万元，静态亩均投资2008.65元。其中：工程施工费3.5880万元，其他费用0.5669万元，监测费0.4000万元，管护费0.00万元，预备费0.2277万元。</w:t>
      </w:r>
    </w:p>
    <w:p>
      <w:pPr>
        <w:pStyle w:val="18"/>
        <w:keepNext w:val="0"/>
        <w:keepLines w:val="0"/>
        <w:pageBreakBefore w:val="0"/>
        <w:widowControl w:val="0"/>
        <w:kinsoku/>
        <w:wordWrap/>
        <w:overflowPunct/>
        <w:topLinePunct w:val="0"/>
        <w:autoSpaceDE/>
        <w:autoSpaceDN/>
        <w:bidi w:val="0"/>
        <w:adjustRightInd/>
        <w:spacing w:line="560" w:lineRule="exact"/>
        <w:ind w:left="0" w:leftChars="0" w:firstLine="640" w:firstLineChars="200"/>
        <w:jc w:val="left"/>
        <w:rPr>
          <w:rFonts w:hint="default" w:ascii="Times New Roman" w:hAnsi="Times New Roman" w:eastAsia="方正黑体_GBK" w:cs="Times New Roman"/>
          <w:b w:val="0"/>
          <w:bCs w:val="0"/>
          <w:snapToGrid w:val="0"/>
          <w:color w:val="000000"/>
          <w:kern w:val="0"/>
          <w:sz w:val="32"/>
          <w:szCs w:val="32"/>
          <w:lang w:val="en-US" w:eastAsia="zh-CN" w:bidi="ar-SA"/>
        </w:rPr>
      </w:pPr>
      <w:r>
        <w:rPr>
          <w:rFonts w:hint="default" w:ascii="Times New Roman" w:hAnsi="Times New Roman" w:eastAsia="方正黑体_GBK" w:cs="Times New Roman"/>
          <w:b w:val="0"/>
          <w:bCs w:val="0"/>
          <w:snapToGrid w:val="0"/>
          <w:color w:val="000000"/>
          <w:kern w:val="0"/>
          <w:sz w:val="32"/>
          <w:szCs w:val="32"/>
          <w:lang w:val="en-US" w:eastAsia="zh-CN" w:bidi="ar-SA"/>
        </w:rPr>
        <w:t>三、征询公众意见内容</w:t>
      </w:r>
    </w:p>
    <w:p>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left"/>
        <w:textAlignment w:val="auto"/>
        <w:rPr>
          <w:rFonts w:hint="default" w:ascii="Times New Roman" w:hAnsi="Times New Roman" w:eastAsia="方正仿宋_GBK" w:cs="Times New Roman"/>
          <w:spacing w:val="0"/>
          <w:sz w:val="32"/>
          <w:szCs w:val="32"/>
          <w:lang w:val="en-US" w:eastAsia="zh-CN"/>
        </w:rPr>
      </w:pPr>
      <w:r>
        <w:rPr>
          <w:rFonts w:hint="default" w:ascii="Times New Roman" w:hAnsi="Times New Roman" w:eastAsia="方正仿宋_GBK" w:cs="Times New Roman"/>
          <w:spacing w:val="0"/>
          <w:sz w:val="32"/>
          <w:szCs w:val="32"/>
          <w:lang w:val="en-US" w:eastAsia="zh-CN"/>
        </w:rPr>
        <w:t>1.土地损毁面积是否符合实际</w:t>
      </w:r>
      <w:r>
        <w:rPr>
          <w:rFonts w:hint="eastAsia" w:ascii="Times New Roman" w:hAnsi="Times New Roman" w:eastAsia="方正仿宋_GBK" w:cs="Times New Roman"/>
          <w:spacing w:val="0"/>
          <w:sz w:val="32"/>
          <w:szCs w:val="32"/>
          <w:lang w:val="en-US" w:eastAsia="zh-CN"/>
        </w:rPr>
        <w:t>批复面积</w:t>
      </w:r>
      <w:r>
        <w:rPr>
          <w:rFonts w:hint="default" w:ascii="Times New Roman" w:hAnsi="Times New Roman" w:eastAsia="方正仿宋_GBK" w:cs="Times New Roman"/>
          <w:spacing w:val="0"/>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left"/>
        <w:textAlignment w:val="auto"/>
        <w:rPr>
          <w:rFonts w:hint="default" w:ascii="Times New Roman" w:hAnsi="Times New Roman" w:eastAsia="方正仿宋_GBK" w:cs="Times New Roman"/>
          <w:spacing w:val="0"/>
          <w:sz w:val="32"/>
          <w:szCs w:val="32"/>
          <w:lang w:val="en-US" w:eastAsia="zh-CN"/>
        </w:rPr>
      </w:pPr>
      <w:r>
        <w:rPr>
          <w:rFonts w:hint="default" w:ascii="Times New Roman" w:hAnsi="Times New Roman" w:eastAsia="方正仿宋_GBK" w:cs="Times New Roman"/>
          <w:spacing w:val="0"/>
          <w:sz w:val="32"/>
          <w:szCs w:val="32"/>
          <w:lang w:val="en-US" w:eastAsia="zh-CN"/>
        </w:rPr>
        <w:t>2.</w:t>
      </w:r>
      <w:r>
        <w:rPr>
          <w:rFonts w:hint="eastAsia" w:ascii="Times New Roman" w:hAnsi="Times New Roman" w:eastAsia="方正仿宋_GBK" w:cs="Times New Roman"/>
          <w:spacing w:val="0"/>
          <w:sz w:val="32"/>
          <w:szCs w:val="32"/>
          <w:lang w:val="en-US" w:eastAsia="zh-CN"/>
        </w:rPr>
        <w:t>临时用地办理期间是否对牧民草场进行合理补偿</w:t>
      </w:r>
      <w:r>
        <w:rPr>
          <w:rFonts w:hint="default" w:ascii="Times New Roman" w:hAnsi="Times New Roman" w:eastAsia="方正仿宋_GBK" w:cs="Times New Roman"/>
          <w:spacing w:val="0"/>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left"/>
        <w:textAlignment w:val="auto"/>
        <w:rPr>
          <w:rFonts w:hint="default" w:ascii="Times New Roman" w:hAnsi="Times New Roman" w:eastAsia="方正仿宋_GBK" w:cs="Times New Roman"/>
          <w:spacing w:val="0"/>
          <w:sz w:val="32"/>
          <w:szCs w:val="32"/>
          <w:lang w:val="en-US" w:eastAsia="zh-CN"/>
        </w:rPr>
      </w:pPr>
      <w:r>
        <w:rPr>
          <w:rFonts w:hint="default" w:ascii="Times New Roman" w:hAnsi="Times New Roman" w:eastAsia="方正仿宋_GBK" w:cs="Times New Roman"/>
          <w:spacing w:val="0"/>
          <w:sz w:val="32"/>
          <w:szCs w:val="32"/>
          <w:lang w:val="en-US" w:eastAsia="zh-CN"/>
        </w:rPr>
        <w:t>3.</w:t>
      </w:r>
      <w:r>
        <w:rPr>
          <w:rFonts w:hint="default" w:ascii="Times New Roman" w:hAnsi="Times New Roman" w:eastAsia="方正仿宋_GBK" w:cs="Times New Roman"/>
          <w:color w:val="000000"/>
          <w:spacing w:val="0"/>
          <w:sz w:val="32"/>
          <w:szCs w:val="32"/>
          <w:lang w:val="en-US" w:eastAsia="zh-CN"/>
        </w:rPr>
        <w:t>生产年限到期没有进行复垦的向自然资源局举报。</w:t>
      </w:r>
    </w:p>
    <w:p>
      <w:pPr>
        <w:pStyle w:val="18"/>
        <w:keepNext w:val="0"/>
        <w:keepLines w:val="0"/>
        <w:pageBreakBefore w:val="0"/>
        <w:widowControl w:val="0"/>
        <w:kinsoku/>
        <w:wordWrap/>
        <w:overflowPunct/>
        <w:topLinePunct w:val="0"/>
        <w:autoSpaceDE/>
        <w:autoSpaceDN/>
        <w:bidi w:val="0"/>
        <w:adjustRightInd/>
        <w:spacing w:line="560" w:lineRule="exact"/>
        <w:ind w:firstLine="640" w:firstLineChars="200"/>
        <w:jc w:val="left"/>
        <w:rPr>
          <w:rFonts w:hint="default" w:ascii="Times New Roman" w:hAnsi="Times New Roman" w:eastAsia="方正黑体_GBK" w:cs="Times New Roman"/>
          <w:b w:val="0"/>
          <w:bCs w:val="0"/>
          <w:snapToGrid w:val="0"/>
          <w:color w:val="000000"/>
          <w:kern w:val="0"/>
          <w:sz w:val="32"/>
          <w:szCs w:val="32"/>
          <w:lang w:val="en-US" w:eastAsia="zh-CN" w:bidi="ar-SA"/>
        </w:rPr>
      </w:pPr>
      <w:r>
        <w:rPr>
          <w:rFonts w:hint="default" w:ascii="Times New Roman" w:hAnsi="Times New Roman" w:eastAsia="方正黑体_GBK" w:cs="Times New Roman"/>
          <w:b w:val="0"/>
          <w:bCs w:val="0"/>
          <w:snapToGrid w:val="0"/>
          <w:color w:val="000000"/>
          <w:kern w:val="0"/>
          <w:sz w:val="32"/>
          <w:szCs w:val="32"/>
          <w:lang w:val="en-US" w:eastAsia="zh-CN" w:bidi="ar-SA"/>
        </w:rPr>
        <w:t>四、公示说明</w:t>
      </w:r>
    </w:p>
    <w:p>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left"/>
        <w:textAlignment w:val="auto"/>
        <w:rPr>
          <w:rFonts w:hint="default" w:ascii="Times New Roman" w:hAnsi="Times New Roman" w:eastAsia="方正仿宋_GBK" w:cs="Times New Roman"/>
          <w:color w:val="000000"/>
          <w:spacing w:val="0"/>
          <w:sz w:val="32"/>
          <w:szCs w:val="32"/>
          <w:highlight w:val="none"/>
        </w:rPr>
      </w:pPr>
      <w:r>
        <w:rPr>
          <w:rFonts w:hint="eastAsia" w:ascii="Times New Roman" w:hAnsi="Times New Roman" w:eastAsia="方正仿宋_GBK" w:cs="Times New Roman"/>
          <w:color w:val="000000"/>
          <w:spacing w:val="0"/>
          <w:sz w:val="32"/>
          <w:szCs w:val="32"/>
          <w:lang w:eastAsia="zh-CN"/>
        </w:rPr>
        <w:t>1.</w:t>
      </w:r>
      <w:r>
        <w:rPr>
          <w:rFonts w:hint="default" w:ascii="Times New Roman" w:hAnsi="Times New Roman" w:eastAsia="方正仿宋_GBK" w:cs="Times New Roman"/>
          <w:color w:val="000000"/>
          <w:spacing w:val="0"/>
          <w:sz w:val="32"/>
          <w:szCs w:val="32"/>
          <w:highlight w:val="none"/>
        </w:rPr>
        <w:t>公示时间为202</w:t>
      </w:r>
      <w:r>
        <w:rPr>
          <w:rFonts w:hint="eastAsia" w:ascii="Times New Roman" w:hAnsi="Times New Roman" w:eastAsia="方正仿宋_GBK" w:cs="Times New Roman"/>
          <w:color w:val="000000"/>
          <w:spacing w:val="0"/>
          <w:sz w:val="32"/>
          <w:szCs w:val="32"/>
          <w:highlight w:val="none"/>
          <w:lang w:val="en-US" w:eastAsia="zh-CN"/>
        </w:rPr>
        <w:t>6</w:t>
      </w:r>
      <w:r>
        <w:rPr>
          <w:rFonts w:hint="default" w:ascii="Times New Roman" w:hAnsi="Times New Roman" w:eastAsia="方正仿宋_GBK" w:cs="Times New Roman"/>
          <w:color w:val="000000"/>
          <w:spacing w:val="0"/>
          <w:sz w:val="32"/>
          <w:szCs w:val="32"/>
          <w:highlight w:val="none"/>
        </w:rPr>
        <w:t>年</w:t>
      </w:r>
      <w:r>
        <w:rPr>
          <w:rFonts w:hint="eastAsia" w:ascii="Times New Roman" w:hAnsi="Times New Roman" w:eastAsia="方正仿宋_GBK" w:cs="Times New Roman"/>
          <w:color w:val="000000"/>
          <w:spacing w:val="0"/>
          <w:sz w:val="32"/>
          <w:szCs w:val="32"/>
          <w:highlight w:val="none"/>
          <w:lang w:val="en-US" w:eastAsia="zh-CN"/>
        </w:rPr>
        <w:t>7</w:t>
      </w:r>
      <w:r>
        <w:rPr>
          <w:rFonts w:hint="default" w:ascii="Times New Roman" w:hAnsi="Times New Roman" w:eastAsia="方正仿宋_GBK" w:cs="Times New Roman"/>
          <w:color w:val="000000"/>
          <w:spacing w:val="0"/>
          <w:sz w:val="32"/>
          <w:szCs w:val="32"/>
          <w:highlight w:val="none"/>
        </w:rPr>
        <w:t>月</w:t>
      </w:r>
      <w:r>
        <w:rPr>
          <w:rFonts w:hint="eastAsia" w:ascii="Times New Roman" w:hAnsi="Times New Roman" w:eastAsia="方正仿宋_GBK" w:cs="Times New Roman"/>
          <w:color w:val="000000"/>
          <w:spacing w:val="0"/>
          <w:sz w:val="32"/>
          <w:szCs w:val="32"/>
          <w:highlight w:val="none"/>
          <w:lang w:val="en-US" w:eastAsia="zh-CN"/>
        </w:rPr>
        <w:t>27</w:t>
      </w:r>
      <w:r>
        <w:rPr>
          <w:rFonts w:hint="default" w:ascii="Times New Roman" w:hAnsi="Times New Roman" w:eastAsia="方正仿宋_GBK" w:cs="Times New Roman"/>
          <w:color w:val="000000"/>
          <w:spacing w:val="0"/>
          <w:sz w:val="32"/>
          <w:szCs w:val="32"/>
          <w:highlight w:val="none"/>
        </w:rPr>
        <w:t>日—</w:t>
      </w:r>
      <w:r>
        <w:rPr>
          <w:rFonts w:hint="default" w:ascii="Times New Roman" w:hAnsi="Times New Roman" w:eastAsia="方正仿宋_GBK" w:cs="Times New Roman"/>
          <w:color w:val="000000"/>
          <w:spacing w:val="0"/>
          <w:sz w:val="32"/>
          <w:szCs w:val="32"/>
          <w:highlight w:val="none"/>
          <w:lang w:val="en-US" w:eastAsia="zh-CN"/>
        </w:rPr>
        <w:t>202</w:t>
      </w:r>
      <w:r>
        <w:rPr>
          <w:rFonts w:hint="eastAsia" w:ascii="Times New Roman" w:hAnsi="Times New Roman" w:eastAsia="方正仿宋_GBK" w:cs="Times New Roman"/>
          <w:color w:val="000000"/>
          <w:spacing w:val="0"/>
          <w:sz w:val="32"/>
          <w:szCs w:val="32"/>
          <w:highlight w:val="none"/>
          <w:lang w:val="en-US" w:eastAsia="zh-CN"/>
        </w:rPr>
        <w:t>6</w:t>
      </w:r>
      <w:r>
        <w:rPr>
          <w:rFonts w:hint="default" w:ascii="Times New Roman" w:hAnsi="Times New Roman" w:eastAsia="方正仿宋_GBK" w:cs="Times New Roman"/>
          <w:color w:val="000000"/>
          <w:spacing w:val="0"/>
          <w:sz w:val="32"/>
          <w:szCs w:val="32"/>
          <w:highlight w:val="none"/>
          <w:lang w:val="en-US" w:eastAsia="zh-CN"/>
        </w:rPr>
        <w:t>年</w:t>
      </w:r>
      <w:r>
        <w:rPr>
          <w:rFonts w:hint="eastAsia" w:ascii="Times New Roman" w:hAnsi="Times New Roman" w:eastAsia="方正仿宋_GBK" w:cs="Times New Roman"/>
          <w:color w:val="000000"/>
          <w:spacing w:val="0"/>
          <w:sz w:val="32"/>
          <w:szCs w:val="32"/>
          <w:highlight w:val="none"/>
          <w:lang w:val="en-US" w:eastAsia="zh-CN"/>
        </w:rPr>
        <w:t>8</w:t>
      </w:r>
      <w:r>
        <w:rPr>
          <w:rFonts w:hint="default" w:ascii="Times New Roman" w:hAnsi="Times New Roman" w:eastAsia="方正仿宋_GBK" w:cs="Times New Roman"/>
          <w:color w:val="000000"/>
          <w:spacing w:val="0"/>
          <w:sz w:val="32"/>
          <w:szCs w:val="32"/>
          <w:highlight w:val="none"/>
        </w:rPr>
        <w:t>月</w:t>
      </w:r>
      <w:r>
        <w:rPr>
          <w:rFonts w:hint="eastAsia" w:ascii="Times New Roman" w:hAnsi="Times New Roman" w:eastAsia="方正仿宋_GBK" w:cs="Times New Roman"/>
          <w:color w:val="000000"/>
          <w:spacing w:val="0"/>
          <w:sz w:val="32"/>
          <w:szCs w:val="32"/>
          <w:highlight w:val="none"/>
          <w:lang w:val="en-US" w:eastAsia="zh-CN"/>
        </w:rPr>
        <w:t>4</w:t>
      </w:r>
      <w:r>
        <w:rPr>
          <w:rFonts w:hint="default" w:ascii="Times New Roman" w:hAnsi="Times New Roman" w:eastAsia="方正仿宋_GBK" w:cs="Times New Roman"/>
          <w:color w:val="000000"/>
          <w:spacing w:val="0"/>
          <w:sz w:val="32"/>
          <w:szCs w:val="32"/>
          <w:highlight w:val="none"/>
        </w:rPr>
        <w:t>日。</w:t>
      </w:r>
    </w:p>
    <w:p>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left"/>
        <w:textAlignment w:val="auto"/>
        <w:rPr>
          <w:rFonts w:hint="default" w:ascii="Times New Roman" w:hAnsi="Times New Roman" w:eastAsia="方正仿宋_GBK" w:cs="Times New Roman"/>
          <w:spacing w:val="0"/>
          <w:sz w:val="32"/>
          <w:szCs w:val="32"/>
          <w:highlight w:val="none"/>
          <w:lang w:eastAsia="zh-CN"/>
        </w:rPr>
      </w:pPr>
      <w:r>
        <w:rPr>
          <w:rFonts w:hint="eastAsia" w:ascii="Times New Roman" w:hAnsi="Times New Roman" w:eastAsia="方正仿宋_GBK" w:cs="Times New Roman"/>
          <w:color w:val="000000"/>
          <w:spacing w:val="0"/>
          <w:sz w:val="32"/>
          <w:szCs w:val="32"/>
          <w:highlight w:val="none"/>
          <w:lang w:eastAsia="zh-CN"/>
        </w:rPr>
        <w:t>2.</w:t>
      </w:r>
      <w:r>
        <w:rPr>
          <w:rFonts w:hint="default" w:ascii="Times New Roman" w:hAnsi="Times New Roman" w:eastAsia="方正仿宋_GBK" w:cs="Times New Roman"/>
          <w:color w:val="000000"/>
          <w:spacing w:val="0"/>
          <w:sz w:val="32"/>
          <w:szCs w:val="32"/>
          <w:highlight w:val="none"/>
        </w:rPr>
        <w:t>本次公众意见可通过信函、传真等书面形式与</w:t>
      </w:r>
      <w:r>
        <w:rPr>
          <w:rFonts w:hint="default" w:ascii="Times New Roman" w:hAnsi="Times New Roman" w:eastAsia="方正仿宋_GBK" w:cs="Times New Roman"/>
          <w:color w:val="000000"/>
          <w:spacing w:val="0"/>
          <w:sz w:val="32"/>
          <w:szCs w:val="32"/>
          <w:highlight w:val="none"/>
          <w:lang w:val="en-US" w:eastAsia="zh-CN"/>
        </w:rPr>
        <w:t>自然资源局联系</w:t>
      </w:r>
      <w:r>
        <w:rPr>
          <w:rFonts w:hint="default" w:ascii="Times New Roman" w:hAnsi="Times New Roman" w:eastAsia="方正仿宋_GBK" w:cs="Times New Roman"/>
          <w:color w:val="000000"/>
          <w:spacing w:val="0"/>
          <w:sz w:val="32"/>
          <w:szCs w:val="32"/>
          <w:highlight w:val="none"/>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仿宋_GBK" w:cs="Times New Roman"/>
          <w:spacing w:val="0"/>
          <w:sz w:val="32"/>
          <w:szCs w:val="32"/>
          <w:highlight w:val="none"/>
          <w:lang w:val="en-US" w:eastAsia="zh-CN"/>
        </w:rPr>
      </w:pPr>
      <w:r>
        <w:rPr>
          <w:rFonts w:hint="default" w:ascii="Times New Roman" w:hAnsi="Times New Roman" w:eastAsia="方正仿宋_GBK" w:cs="Times New Roman"/>
          <w:spacing w:val="0"/>
          <w:sz w:val="32"/>
          <w:szCs w:val="32"/>
          <w:highlight w:val="none"/>
          <w:lang w:eastAsia="zh-CN"/>
        </w:rPr>
        <w:t>地址：</w:t>
      </w:r>
      <w:r>
        <w:rPr>
          <w:rFonts w:hint="default" w:ascii="Times New Roman" w:hAnsi="Times New Roman" w:eastAsia="方正仿宋_GBK" w:cs="Times New Roman"/>
          <w:spacing w:val="0"/>
          <w:sz w:val="32"/>
          <w:szCs w:val="32"/>
          <w:highlight w:val="none"/>
          <w:lang w:val="en-US" w:eastAsia="zh-CN"/>
        </w:rPr>
        <w:t>和静县建设路988号自然资源局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仿宋_GBK" w:cs="Times New Roman"/>
          <w:spacing w:val="0"/>
          <w:sz w:val="32"/>
          <w:szCs w:val="32"/>
          <w:highlight w:val="none"/>
          <w:lang w:val="en-US" w:eastAsia="zh-CN"/>
        </w:rPr>
      </w:pPr>
      <w:r>
        <w:rPr>
          <w:rFonts w:hint="default" w:ascii="Times New Roman" w:hAnsi="Times New Roman" w:eastAsia="方正仿宋_GBK" w:cs="Times New Roman"/>
          <w:spacing w:val="0"/>
          <w:sz w:val="32"/>
          <w:szCs w:val="32"/>
          <w:highlight w:val="none"/>
          <w:lang w:eastAsia="zh-CN"/>
        </w:rPr>
        <w:t>联系人：</w:t>
      </w:r>
      <w:r>
        <w:rPr>
          <w:rFonts w:hint="default" w:ascii="Times New Roman" w:hAnsi="Times New Roman" w:eastAsia="方正仿宋_GBK" w:cs="Times New Roman"/>
          <w:spacing w:val="0"/>
          <w:sz w:val="32"/>
          <w:szCs w:val="32"/>
          <w:highlight w:val="none"/>
          <w:lang w:val="en-US" w:eastAsia="zh-CN"/>
        </w:rPr>
        <w:t>王百虎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仿宋_GBK" w:cs="Times New Roman"/>
          <w:spacing w:val="0"/>
          <w:sz w:val="32"/>
          <w:szCs w:val="32"/>
          <w:highlight w:val="none"/>
          <w:lang w:val="en-US" w:eastAsia="zh-CN"/>
        </w:rPr>
      </w:pPr>
      <w:r>
        <w:rPr>
          <w:rFonts w:hint="default" w:ascii="Times New Roman" w:hAnsi="Times New Roman" w:eastAsia="方正仿宋_GBK" w:cs="Times New Roman"/>
          <w:spacing w:val="0"/>
          <w:sz w:val="32"/>
          <w:szCs w:val="32"/>
          <w:highlight w:val="none"/>
          <w:lang w:eastAsia="zh-CN"/>
        </w:rPr>
        <w:t>固定电话：</w:t>
      </w:r>
      <w:r>
        <w:rPr>
          <w:rFonts w:hint="default" w:ascii="Times New Roman" w:hAnsi="Times New Roman" w:eastAsia="方正仿宋_GBK" w:cs="Times New Roman"/>
          <w:spacing w:val="0"/>
          <w:sz w:val="32"/>
          <w:szCs w:val="32"/>
          <w:highlight w:val="none"/>
          <w:lang w:val="en-US" w:eastAsia="zh-CN"/>
        </w:rPr>
        <w:t>0996-5025378、5025815</w:t>
      </w:r>
    </w:p>
    <w:p>
      <w:pPr>
        <w:keepNext w:val="0"/>
        <w:keepLines w:val="0"/>
        <w:pageBreakBefore w:val="0"/>
        <w:widowControl w:val="0"/>
        <w:kinsoku/>
        <w:wordWrap/>
        <w:overflowPunct/>
        <w:topLinePunct w:val="0"/>
        <w:autoSpaceDE/>
        <w:autoSpaceDN/>
        <w:bidi w:val="0"/>
        <w:spacing w:line="560" w:lineRule="exact"/>
        <w:ind w:firstLine="0" w:firstLineChars="0"/>
        <w:jc w:val="left"/>
        <w:rPr>
          <w:rFonts w:hint="default" w:ascii="Times New Roman" w:hAnsi="Times New Roman" w:eastAsia="方正仿宋_GBK" w:cs="Times New Roman"/>
          <w:color w:val="000000"/>
          <w:sz w:val="32"/>
          <w:szCs w:val="32"/>
          <w:highlight w:val="none"/>
          <w:lang w:val="en-US" w:eastAsia="zh-CN"/>
        </w:rPr>
      </w:pPr>
    </w:p>
    <w:p>
      <w:pPr>
        <w:pStyle w:val="2"/>
        <w:rPr>
          <w:rFonts w:hint="default"/>
          <w:lang w:val="en-US" w:eastAsia="zh-CN"/>
        </w:rPr>
      </w:pPr>
    </w:p>
    <w:p>
      <w:pPr>
        <w:keepNext w:val="0"/>
        <w:keepLines w:val="0"/>
        <w:pageBreakBefore w:val="0"/>
        <w:widowControl w:val="0"/>
        <w:kinsoku/>
        <w:wordWrap/>
        <w:overflowPunct/>
        <w:topLinePunct w:val="0"/>
        <w:autoSpaceDE/>
        <w:autoSpaceDN/>
        <w:bidi w:val="0"/>
        <w:spacing w:line="560" w:lineRule="exact"/>
        <w:ind w:firstLine="6080" w:firstLineChars="1900"/>
        <w:jc w:val="left"/>
        <w:rPr>
          <w:rFonts w:hint="default" w:ascii="Times New Roman" w:hAnsi="Times New Roman" w:eastAsia="方正仿宋_GBK" w:cs="Times New Roman"/>
          <w:color w:val="000000"/>
          <w:sz w:val="32"/>
          <w:szCs w:val="32"/>
          <w:highlight w:val="none"/>
          <w:lang w:val="en-US" w:eastAsia="zh-CN"/>
        </w:rPr>
      </w:pPr>
      <w:r>
        <w:rPr>
          <w:rFonts w:hint="default" w:ascii="Times New Roman" w:hAnsi="Times New Roman" w:eastAsia="方正仿宋_GBK" w:cs="Times New Roman"/>
          <w:color w:val="000000"/>
          <w:sz w:val="32"/>
          <w:szCs w:val="32"/>
          <w:highlight w:val="none"/>
          <w:lang w:val="en-US" w:eastAsia="zh-CN"/>
        </w:rPr>
        <w:t>和静县自然资源局</w:t>
      </w:r>
    </w:p>
    <w:p>
      <w:pPr>
        <w:keepNext w:val="0"/>
        <w:keepLines w:val="0"/>
        <w:pageBreakBefore w:val="0"/>
        <w:widowControl w:val="0"/>
        <w:kinsoku/>
        <w:wordWrap/>
        <w:overflowPunct/>
        <w:topLinePunct w:val="0"/>
        <w:autoSpaceDE/>
        <w:autoSpaceDN/>
        <w:bidi w:val="0"/>
        <w:spacing w:line="560" w:lineRule="exact"/>
        <w:ind w:firstLine="6080" w:firstLineChars="1900"/>
        <w:jc w:val="left"/>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color w:val="000000"/>
          <w:sz w:val="32"/>
          <w:szCs w:val="32"/>
          <w:highlight w:val="none"/>
          <w:lang w:val="en-US" w:eastAsia="zh-CN"/>
        </w:rPr>
        <w:t>202</w:t>
      </w:r>
      <w:r>
        <w:rPr>
          <w:rFonts w:hint="eastAsia" w:ascii="Times New Roman" w:hAnsi="Times New Roman" w:eastAsia="方正仿宋_GBK" w:cs="Times New Roman"/>
          <w:color w:val="000000"/>
          <w:sz w:val="32"/>
          <w:szCs w:val="32"/>
          <w:highlight w:val="none"/>
          <w:lang w:val="en-US" w:eastAsia="zh-CN"/>
        </w:rPr>
        <w:t>6</w:t>
      </w:r>
      <w:r>
        <w:rPr>
          <w:rFonts w:hint="default" w:ascii="Times New Roman" w:hAnsi="Times New Roman" w:eastAsia="方正仿宋_GBK" w:cs="Times New Roman"/>
          <w:color w:val="000000"/>
          <w:sz w:val="32"/>
          <w:szCs w:val="32"/>
          <w:highlight w:val="none"/>
          <w:lang w:val="en-US" w:eastAsia="zh-CN"/>
        </w:rPr>
        <w:t>年</w:t>
      </w:r>
      <w:r>
        <w:rPr>
          <w:rFonts w:hint="eastAsia" w:ascii="Times New Roman" w:hAnsi="Times New Roman" w:eastAsia="方正仿宋_GBK" w:cs="Times New Roman"/>
          <w:color w:val="000000"/>
          <w:sz w:val="32"/>
          <w:szCs w:val="32"/>
          <w:highlight w:val="none"/>
          <w:lang w:val="en-US" w:eastAsia="zh-CN"/>
        </w:rPr>
        <w:t>7</w:t>
      </w:r>
      <w:r>
        <w:rPr>
          <w:rFonts w:hint="default" w:ascii="Times New Roman" w:hAnsi="Times New Roman" w:eastAsia="方正仿宋_GBK" w:cs="Times New Roman"/>
          <w:color w:val="000000"/>
          <w:sz w:val="32"/>
          <w:szCs w:val="32"/>
          <w:highlight w:val="none"/>
          <w:lang w:val="en-US" w:eastAsia="zh-CN"/>
        </w:rPr>
        <w:t>月</w:t>
      </w:r>
      <w:r>
        <w:rPr>
          <w:rFonts w:hint="eastAsia" w:ascii="Times New Roman" w:hAnsi="Times New Roman" w:eastAsia="方正仿宋_GBK" w:cs="Times New Roman"/>
          <w:color w:val="000000"/>
          <w:sz w:val="32"/>
          <w:szCs w:val="32"/>
          <w:highlight w:val="none"/>
          <w:lang w:val="en-US" w:eastAsia="zh-CN"/>
        </w:rPr>
        <w:t>27</w:t>
      </w:r>
      <w:r>
        <w:rPr>
          <w:rFonts w:hint="default" w:ascii="Times New Roman" w:hAnsi="Times New Roman" w:eastAsia="方正仿宋_GBK" w:cs="Times New Roman"/>
          <w:color w:val="000000"/>
          <w:sz w:val="32"/>
          <w:szCs w:val="32"/>
          <w:highlight w:val="none"/>
          <w:lang w:val="en-US" w:eastAsia="zh-CN"/>
        </w:rPr>
        <w:t>日</w:t>
      </w:r>
    </w:p>
    <w:p>
      <w:pPr>
        <w:pStyle w:val="14"/>
        <w:rPr>
          <w:rFonts w:hint="default" w:ascii="Times New Roman" w:hAnsi="Times New Roman" w:eastAsia="方正仿宋_GBK" w:cs="Times New Roman"/>
          <w:sz w:val="32"/>
          <w:szCs w:val="32"/>
          <w:lang w:val="en-US" w:eastAsia="zh-CN"/>
        </w:rPr>
      </w:pPr>
    </w:p>
    <w:p>
      <w:pPr>
        <w:pStyle w:val="14"/>
        <w:rPr>
          <w:rFonts w:hint="default" w:ascii="Times New Roman" w:hAnsi="Times New Roman" w:eastAsia="方正仿宋_GBK" w:cs="Times New Roman"/>
          <w:sz w:val="32"/>
          <w:szCs w:val="32"/>
          <w:lang w:val="en-US" w:eastAsia="zh-CN"/>
        </w:rPr>
      </w:pPr>
    </w:p>
    <w:p>
      <w:pPr>
        <w:pStyle w:val="14"/>
        <w:rPr>
          <w:rFonts w:hint="default" w:ascii="Times New Roman" w:hAnsi="Times New Roman" w:eastAsia="方正仿宋_GBK" w:cs="Times New Roman"/>
          <w:sz w:val="32"/>
          <w:szCs w:val="32"/>
          <w:lang w:val="en-US" w:eastAsia="zh-CN"/>
        </w:rPr>
      </w:pPr>
    </w:p>
    <w:p>
      <w:pPr>
        <w:spacing w:line="480" w:lineRule="exact"/>
        <w:ind w:right="-454" w:rightChars="-216" w:firstLine="210" w:firstLineChars="100"/>
        <w:rPr>
          <w:rFonts w:hint="eastAsia" w:ascii="方正仿宋_GBK" w:hAnsi="方正仿宋_GBK" w:eastAsia="方正仿宋_GBK" w:cs="方正仿宋_GBK"/>
          <w:snapToGrid w:val="0"/>
          <w:color w:val="000000"/>
          <w:kern w:val="0"/>
          <w:sz w:val="28"/>
          <w:szCs w:val="28"/>
          <w:u w:val="none"/>
          <w:lang w:val="en-US" w:eastAsia="zh-CN" w:bidi="ar-SA"/>
        </w:rPr>
      </w:pPr>
      <w:r>
        <w:rPr>
          <w:rFonts w:hint="default" w:ascii="Times New Roman" w:hAnsi="Times New Roman" w:eastAsia="方正仿宋_GBK" w:cs="Times New Roman"/>
          <w:szCs w:val="32"/>
        </w:rPr>
        <mc:AlternateContent>
          <mc:Choice Requires="wps">
            <w:drawing>
              <wp:anchor distT="0" distB="0" distL="114300" distR="114300" simplePos="0" relativeHeight="251660288" behindDoc="0" locked="0" layoutInCell="1" allowOverlap="1">
                <wp:simplePos x="0" y="0"/>
                <wp:positionH relativeFrom="column">
                  <wp:posOffset>-114300</wp:posOffset>
                </wp:positionH>
                <wp:positionV relativeFrom="paragraph">
                  <wp:posOffset>17145</wp:posOffset>
                </wp:positionV>
                <wp:extent cx="5615940" cy="0"/>
                <wp:effectExtent l="0" t="4445" r="0" b="5080"/>
                <wp:wrapNone/>
                <wp:docPr id="2" name="直线 4"/>
                <wp:cNvGraphicFramePr/>
                <a:graphic xmlns:a="http://schemas.openxmlformats.org/drawingml/2006/main">
                  <a:graphicData uri="http://schemas.microsoft.com/office/word/2010/wordprocessingShape">
                    <wps:wsp>
                      <wps:cNvCnPr/>
                      <wps:spPr>
                        <a:xfrm>
                          <a:off x="0" y="0"/>
                          <a:ext cx="5615940"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4" o:spid="_x0000_s1026" o:spt="20" style="position:absolute;left:0pt;margin-left:-9pt;margin-top:1.35pt;height:0pt;width:442.2pt;z-index:251660288;mso-width-relative:page;mso-height-relative:page;" filled="f" stroked="t" coordsize="21600,21600" o:gfxdata="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95vW9UAAAAHAQAADwAAAAAAAAABACAAAAAiAAAAZHJzL2Rvd25yZXYu&#10;eG1sUEsBAhQAFAAAAAgAh07iQMl7jCvFAQAAgQMAAA4AAAAAAAAAAQAgAAAAJAEAAGRycy9lMm9E&#10;b2MueG1sUEsFBgAAAAAGAAYAWQEAAFsFAAAAAA==&#10;">
                <v:fill on="f" focussize="0,0"/>
                <v:stroke color="#000000" joinstyle="round"/>
                <v:imagedata o:title=""/>
                <o:lock v:ext="edit" aspectratio="f"/>
              </v:line>
            </w:pict>
          </mc:Fallback>
        </mc:AlternateContent>
      </w:r>
      <w:r>
        <w:rPr>
          <w:rFonts w:hint="default" w:ascii="Times New Roman" w:hAnsi="Times New Roman" w:eastAsia="方正仿宋_GBK" w:cs="Times New Roman"/>
          <w:sz w:val="28"/>
          <w:szCs w:val="28"/>
        </w:rPr>
        <mc:AlternateContent>
          <mc:Choice Requires="wps">
            <w:drawing>
              <wp:anchor distT="0" distB="0" distL="114300" distR="114300" simplePos="0" relativeHeight="251659264" behindDoc="0" locked="0" layoutInCell="1" allowOverlap="1">
                <wp:simplePos x="0" y="0"/>
                <wp:positionH relativeFrom="column">
                  <wp:posOffset>-114300</wp:posOffset>
                </wp:positionH>
                <wp:positionV relativeFrom="paragraph">
                  <wp:posOffset>301625</wp:posOffset>
                </wp:positionV>
                <wp:extent cx="5615940" cy="0"/>
                <wp:effectExtent l="0" t="4445" r="0" b="5080"/>
                <wp:wrapNone/>
                <wp:docPr id="1" name="Line 3"/>
                <wp:cNvGraphicFramePr/>
                <a:graphic xmlns:a="http://schemas.openxmlformats.org/drawingml/2006/main">
                  <a:graphicData uri="http://schemas.microsoft.com/office/word/2010/wordprocessingShape">
                    <wps:wsp>
                      <wps:cNvCnPr/>
                      <wps:spPr>
                        <a:xfrm>
                          <a:off x="0" y="0"/>
                          <a:ext cx="5615940"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Line 3" o:spid="_x0000_s1026" o:spt="20" style="position:absolute;left:0pt;margin-left:-9pt;margin-top:23.75pt;height:0pt;width:442.2pt;z-index:251659264;mso-width-relative:page;mso-height-relative:page;" filled="f" stroked="t" coordsize="21600,21600" o:gfxdata="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fHpwg2AAAAAkBAAAPAAAAAAAAAAEAIAAAACIAAABkcnMvZG93bnJldi54bWxQSwECFAAU&#10;AAAACACHTuJAV+Kjg7gBAAB/AwAADgAAAAAAAAABACAAAAAnAQAAZHJzL2Uyb0RvYy54bWxQSwUG&#10;AAAAAAYABgBZAQAAUQUAAAAA&#10;">
                <v:fill on="f" focussize="0,0"/>
                <v:stroke color="#000000" joinstyle="round"/>
                <v:imagedata o:title=""/>
                <o:lock v:ext="edit" aspectratio="f"/>
              </v:line>
            </w:pict>
          </mc:Fallback>
        </mc:AlternateContent>
      </w:r>
      <w:r>
        <w:rPr>
          <w:rFonts w:hint="default" w:ascii="Times New Roman" w:hAnsi="Times New Roman" w:eastAsia="方正仿宋_GBK" w:cs="Times New Roman"/>
          <w:sz w:val="28"/>
          <w:szCs w:val="28"/>
        </w:rPr>
        <w:t>和静县自然资源局办公室                202</w:t>
      </w:r>
      <w:r>
        <w:rPr>
          <w:rFonts w:hint="eastAsia" w:ascii="Times New Roman" w:hAnsi="Times New Roman" w:eastAsia="方正仿宋_GBK" w:cs="Times New Roman"/>
          <w:sz w:val="28"/>
          <w:szCs w:val="28"/>
          <w:lang w:val="en-US" w:eastAsia="zh-CN"/>
        </w:rPr>
        <w:t>6</w:t>
      </w:r>
      <w:r>
        <w:rPr>
          <w:rFonts w:hint="default" w:ascii="Times New Roman" w:hAnsi="Times New Roman" w:eastAsia="方正仿宋_GBK" w:cs="Times New Roman"/>
          <w:sz w:val="28"/>
          <w:szCs w:val="28"/>
        </w:rPr>
        <w:t>年</w:t>
      </w:r>
      <w:r>
        <w:rPr>
          <w:rFonts w:hint="eastAsia" w:ascii="Times New Roman" w:hAnsi="Times New Roman" w:eastAsia="方正仿宋_GBK" w:cs="Times New Roman"/>
          <w:sz w:val="28"/>
          <w:szCs w:val="28"/>
          <w:lang w:val="en-US" w:eastAsia="zh-CN"/>
        </w:rPr>
        <w:t>7</w:t>
      </w:r>
      <w:r>
        <w:rPr>
          <w:rFonts w:hint="default" w:ascii="Times New Roman" w:hAnsi="Times New Roman" w:eastAsia="方正仿宋_GBK" w:cs="Times New Roman"/>
          <w:sz w:val="28"/>
          <w:szCs w:val="28"/>
        </w:rPr>
        <w:t>月</w:t>
      </w:r>
      <w:r>
        <w:rPr>
          <w:rFonts w:hint="eastAsia" w:ascii="Times New Roman" w:hAnsi="Times New Roman" w:eastAsia="方正仿宋_GBK" w:cs="Times New Roman"/>
          <w:sz w:val="28"/>
          <w:szCs w:val="28"/>
          <w:lang w:val="en-US" w:eastAsia="zh-CN"/>
        </w:rPr>
        <w:t>27</w:t>
      </w:r>
      <w:r>
        <w:rPr>
          <w:rFonts w:hint="default" w:ascii="Times New Roman" w:hAnsi="Times New Roman" w:eastAsia="方正仿宋_GBK" w:cs="Times New Roman"/>
          <w:sz w:val="28"/>
          <w:szCs w:val="28"/>
        </w:rPr>
        <w:t xml:space="preserve">日印发 </w:t>
      </w:r>
    </w:p>
    <w:p>
      <w:pPr>
        <w:rPr>
          <w:rFonts w:hint="eastAsia" w:eastAsiaTheme="minorEastAsia"/>
          <w:color w:val="000000" w:themeColor="text1"/>
          <w:lang w:eastAsia="zh-CN"/>
          <w14:textFill>
            <w14:solidFill>
              <w14:schemeClr w14:val="tx1"/>
            </w14:solidFill>
          </w14:textFill>
        </w:rPr>
        <w:sectPr>
          <w:headerReference r:id="rId3" w:type="default"/>
          <w:footerReference r:id="rId4" w:type="default"/>
          <w:pgSz w:w="11906" w:h="16838"/>
          <w:pgMar w:top="1871" w:right="1531" w:bottom="1984" w:left="1531" w:header="851" w:footer="992" w:gutter="0"/>
          <w:pgBorders>
            <w:top w:val="none" w:sz="0" w:space="0"/>
            <w:left w:val="none" w:sz="0" w:space="0"/>
            <w:bottom w:val="none" w:sz="0" w:space="0"/>
            <w:right w:val="none" w:sz="0" w:space="0"/>
          </w:pgBorders>
          <w:pgNumType w:fmt="decimal"/>
          <w:cols w:space="0" w:num="1"/>
          <w:rtlGutter w:val="0"/>
          <w:docGrid w:linePitch="590" w:charSpace="0"/>
        </w:sectPr>
      </w:pPr>
    </w:p>
    <w:p>
      <w:pPr>
        <w:pStyle w:val="14"/>
        <w:rPr>
          <w:rFonts w:hint="default"/>
          <w:lang w:val="en-US" w:eastAsia="zh-CN"/>
        </w:rPr>
      </w:pPr>
    </w:p>
    <w:p>
      <w:pPr>
        <w:pStyle w:val="14"/>
        <w:rPr>
          <w:rFonts w:hint="default" w:ascii="Times New Roman" w:hAnsi="Times New Roman" w:eastAsia="方正仿宋_GBK" w:cs="Times New Roman"/>
          <w:sz w:val="32"/>
          <w:szCs w:val="32"/>
          <w:lang w:val="en-US" w:eastAsia="zh-CN"/>
        </w:rPr>
      </w:pPr>
    </w:p>
    <w:p>
      <w:pPr>
        <w:pStyle w:val="14"/>
        <w:rPr>
          <w:rFonts w:hint="default" w:ascii="Times New Roman" w:hAnsi="Times New Roman" w:eastAsia="方正仿宋_GBK" w:cs="Times New Roman"/>
          <w:sz w:val="32"/>
          <w:szCs w:val="32"/>
          <w:lang w:val="en-US" w:eastAsia="zh-CN"/>
        </w:rPr>
      </w:pPr>
    </w:p>
    <w:p>
      <w:pPr>
        <w:pStyle w:val="14"/>
        <w:ind w:left="0" w:leftChars="0" w:firstLine="0" w:firstLineChars="0"/>
        <w:rPr>
          <w:rFonts w:hint="default" w:ascii="Times New Roman" w:hAnsi="Times New Roman" w:eastAsia="方正仿宋_GBK" w:cs="Times New Roman"/>
          <w:sz w:val="32"/>
          <w:szCs w:val="32"/>
          <w:lang w:val="en-US" w:eastAsia="zh-CN"/>
        </w:rPr>
      </w:pPr>
    </w:p>
    <w:p>
      <w:pPr>
        <w:pStyle w:val="14"/>
        <w:ind w:left="0" w:leftChars="0" w:firstLine="0" w:firstLineChars="0"/>
        <w:rPr>
          <w:rFonts w:hint="default" w:ascii="Times New Roman" w:hAnsi="Times New Roman" w:eastAsia="方正仿宋_GBK" w:cs="Times New Roman"/>
          <w:sz w:val="32"/>
          <w:szCs w:val="32"/>
          <w:lang w:val="en-US" w:eastAsia="zh-CN"/>
        </w:rPr>
      </w:pPr>
    </w:p>
    <w:p>
      <w:pPr>
        <w:pStyle w:val="14"/>
        <w:rPr>
          <w:rFonts w:hint="default" w:ascii="Times New Roman" w:hAnsi="Times New Roman" w:eastAsia="方正仿宋_GBK" w:cs="Times New Roman"/>
          <w:sz w:val="32"/>
          <w:szCs w:val="32"/>
          <w:lang w:val="en-US" w:eastAsia="zh-CN"/>
        </w:rPr>
      </w:pPr>
    </w:p>
    <w:p>
      <w:pPr>
        <w:keepNext w:val="0"/>
        <w:keepLines w:val="0"/>
        <w:pageBreakBefore w:val="0"/>
        <w:widowControl w:val="0"/>
        <w:kinsoku/>
        <w:wordWrap/>
        <w:overflowPunct/>
        <w:topLinePunct w:val="0"/>
        <w:autoSpaceDE/>
        <w:autoSpaceDN/>
        <w:bidi w:val="0"/>
        <w:spacing w:line="240" w:lineRule="auto"/>
        <w:jc w:val="left"/>
        <w:rPr>
          <w:rFonts w:hint="default" w:ascii="Times New Roman" w:hAnsi="Times New Roman" w:eastAsia="方正仿宋_GBK" w:cs="Times New Roman"/>
          <w:sz w:val="32"/>
          <w:szCs w:val="32"/>
          <w:lang w:val="en-US" w:eastAsia="zh-CN"/>
        </w:rPr>
      </w:pPr>
    </w:p>
    <w:bookmarkEnd w:id="18"/>
    <w:bookmarkEnd w:id="19"/>
    <w:p>
      <w:pPr>
        <w:pStyle w:val="2"/>
        <w:rPr>
          <w:rFonts w:hint="eastAsia"/>
          <w:lang w:val="en-US" w:eastAsia="zh-CN"/>
        </w:rPr>
      </w:pPr>
    </w:p>
    <w:sectPr>
      <w:headerReference r:id="rId5" w:type="default"/>
      <w:footerReference r:id="rId6" w:type="default"/>
      <w:pgSz w:w="11906" w:h="16838"/>
      <w:pgMar w:top="1871" w:right="1531" w:bottom="1984" w:left="1531" w:header="851" w:footer="992" w:gutter="0"/>
      <w:pgBorders>
        <w:top w:val="none" w:sz="0" w:space="0"/>
        <w:left w:val="none" w:sz="0" w:space="0"/>
        <w:bottom w:val="none" w:sz="0" w:space="0"/>
        <w:right w:val="none" w:sz="0" w:space="0"/>
      </w:pgBorders>
      <w:pgNumType w:fmt="decimal"/>
      <w:cols w:space="0" w:num="1"/>
      <w:rtlGutter w:val="0"/>
      <w:docGrid w:linePitch="59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5D26A2A-8B52-4207-8B2F-CB8DC9BFE1F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仿宋简体">
    <w:altName w:val="微软雅黑"/>
    <w:panose1 w:val="02000000000000000000"/>
    <w:charset w:val="86"/>
    <w:family w:val="auto"/>
    <w:pitch w:val="default"/>
    <w:sig w:usb0="00000000" w:usb1="00000000" w:usb2="00000012"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方正小标宋_GBK">
    <w:panose1 w:val="03000509000000000000"/>
    <w:charset w:val="86"/>
    <w:family w:val="auto"/>
    <w:pitch w:val="default"/>
    <w:sig w:usb0="00000000" w:usb1="00000000" w:usb2="00000000" w:usb3="00000000" w:csb0="00000000" w:csb1="00000000"/>
    <w:embedRegular r:id="rId2" w:fontKey="{452179B7-3F1F-4EDC-9BA2-ADB2DC7F6049}"/>
  </w:font>
  <w:font w:name="方正仿宋_GBK">
    <w:panose1 w:val="03000509000000000000"/>
    <w:charset w:val="86"/>
    <w:family w:val="auto"/>
    <w:pitch w:val="default"/>
    <w:sig w:usb0="00000000" w:usb1="00000000" w:usb2="00000000" w:usb3="00000000" w:csb0="00000000" w:csb1="00000000"/>
    <w:embedRegular r:id="rId3" w:fontKey="{67362E0C-222A-4815-8605-82EDD889A086}"/>
  </w:font>
  <w:font w:name="方正黑体_GBK">
    <w:panose1 w:val="03000509000000000000"/>
    <w:charset w:val="86"/>
    <w:family w:val="auto"/>
    <w:pitch w:val="default"/>
    <w:sig w:usb0="00000000" w:usb1="00000000" w:usb2="00000000" w:usb3="00000000" w:csb0="00000000" w:csb1="00000000"/>
    <w:embedRegular r:id="rId4" w:fontKey="{12E4D0B4-7D23-44D2-9E34-4DA20016E783}"/>
  </w:font>
  <w:font w:name="方正楷体_GBK">
    <w:panose1 w:val="03000509000000000000"/>
    <w:charset w:val="86"/>
    <w:family w:val="auto"/>
    <w:pitch w:val="default"/>
    <w:sig w:usb0="00000000" w:usb1="00000000" w:usb2="00000000" w:usb3="00000000" w:csb0="00000000" w:csb1="00000000"/>
    <w:embedRegular r:id="rId5" w:fontKey="{38C7917D-7152-4B96-93E3-349460E8FC86}"/>
  </w:font>
  <w:font w:name="仿宋">
    <w:panose1 w:val="02010609060101010101"/>
    <w:charset w:val="86"/>
    <w:family w:val="auto"/>
    <w:pitch w:val="default"/>
    <w:sig w:usb0="800002BF" w:usb1="38CF7CFA" w:usb2="00000016" w:usb3="00000000" w:csb0="00040001" w:csb1="00000000"/>
    <w:embedRegular r:id="rId6" w:fontKey="{3FA83177-01DC-4979-A2CD-4789BFE69DE4}"/>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kinsoku/>
      <w:autoSpaceDE/>
      <w:autoSpaceDN/>
      <w:adjustRightInd/>
      <w:spacing w:line="240" w:lineRule="auto"/>
      <w:jc w:val="center"/>
      <w:textAlignment w:val="auto"/>
      <w:rPr>
        <w:rFonts w:ascii="Times New Roman" w:hAnsi="Times New Roman" w:eastAsia="宋体" w:cs="Times New Roman"/>
        <w:snapToGrid/>
        <w:sz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kinsoku/>
      <w:autoSpaceDE/>
      <w:autoSpaceDN/>
      <w:adjustRightInd/>
      <w:spacing w:line="240" w:lineRule="auto"/>
      <w:jc w:val="center"/>
      <w:textAlignment w:val="auto"/>
      <w:rPr>
        <w:rFonts w:ascii="Times New Roman" w:hAnsi="Times New Roman" w:eastAsia="宋体" w:cs="Times New Roman"/>
        <w:snapToGrid/>
        <w:sz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1"/>
      </w:pBdr>
      <w:kinsoku/>
      <w:autoSpaceDE/>
      <w:autoSpaceDN/>
      <w:adjustRightInd/>
      <w:spacing w:line="240" w:lineRule="auto"/>
      <w:textAlignment w:val="auto"/>
      <w:rPr>
        <w:rFonts w:ascii="Times New Roman" w:hAnsi="Times New Roman" w:eastAsia="宋体" w:cs="Times New Roman"/>
        <w:snapToGrid/>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1"/>
      </w:pBdr>
      <w:kinsoku/>
      <w:autoSpaceDE/>
      <w:autoSpaceDN/>
      <w:adjustRightInd/>
      <w:spacing w:line="240" w:lineRule="auto"/>
      <w:textAlignment w:val="auto"/>
      <w:rPr>
        <w:rFonts w:ascii="Times New Roman" w:hAnsi="Times New Roman" w:eastAsia="宋体" w:cs="Times New Roman"/>
        <w:snapToGrid/>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FlZjU4MDViY2MwY2MzNzgyYmYxZjIxMzUzZTlmMmYifQ=="/>
  </w:docVars>
  <w:rsids>
    <w:rsidRoot w:val="3A7C2A74"/>
    <w:rsid w:val="037105BD"/>
    <w:rsid w:val="061E3DB6"/>
    <w:rsid w:val="07DE5AAF"/>
    <w:rsid w:val="0A1D7496"/>
    <w:rsid w:val="0A8C2E5F"/>
    <w:rsid w:val="13AC074F"/>
    <w:rsid w:val="1ABB0114"/>
    <w:rsid w:val="1B256297"/>
    <w:rsid w:val="1BAB4638"/>
    <w:rsid w:val="1BDA4AC1"/>
    <w:rsid w:val="24512859"/>
    <w:rsid w:val="245E0E58"/>
    <w:rsid w:val="25FF3A45"/>
    <w:rsid w:val="27BD701C"/>
    <w:rsid w:val="2B6A5A2B"/>
    <w:rsid w:val="2B6A5CC1"/>
    <w:rsid w:val="2CCC6994"/>
    <w:rsid w:val="2D247068"/>
    <w:rsid w:val="2E530CBA"/>
    <w:rsid w:val="2F885F1B"/>
    <w:rsid w:val="31434890"/>
    <w:rsid w:val="33510B63"/>
    <w:rsid w:val="34AF4725"/>
    <w:rsid w:val="358B6F41"/>
    <w:rsid w:val="39DA612C"/>
    <w:rsid w:val="3A7C2A74"/>
    <w:rsid w:val="3A970057"/>
    <w:rsid w:val="3E5F2E72"/>
    <w:rsid w:val="3E7105D4"/>
    <w:rsid w:val="415229BC"/>
    <w:rsid w:val="42D706C5"/>
    <w:rsid w:val="44177A69"/>
    <w:rsid w:val="4BC77D57"/>
    <w:rsid w:val="4C970180"/>
    <w:rsid w:val="4D45010E"/>
    <w:rsid w:val="54CC7451"/>
    <w:rsid w:val="56A52A41"/>
    <w:rsid w:val="57DE5FF4"/>
    <w:rsid w:val="59017E51"/>
    <w:rsid w:val="592F5306"/>
    <w:rsid w:val="60256134"/>
    <w:rsid w:val="675D43F3"/>
    <w:rsid w:val="6A293A8A"/>
    <w:rsid w:val="6FF77132"/>
    <w:rsid w:val="7037282D"/>
    <w:rsid w:val="74B8202E"/>
    <w:rsid w:val="75FD4F4A"/>
    <w:rsid w:val="76CB4BA5"/>
    <w:rsid w:val="791D5FA2"/>
    <w:rsid w:val="79D7274E"/>
    <w:rsid w:val="7AB51C94"/>
    <w:rsid w:val="7B73403A"/>
    <w:rsid w:val="7C6E64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3">
    <w:name w:val="heading 2"/>
    <w:basedOn w:val="1"/>
    <w:next w:val="1"/>
    <w:qFormat/>
    <w:uiPriority w:val="9"/>
    <w:pPr>
      <w:keepNext/>
      <w:keepLines/>
      <w:spacing w:before="260" w:after="260" w:line="416" w:lineRule="auto"/>
      <w:outlineLvl w:val="1"/>
    </w:pPr>
    <w:rPr>
      <w:rFonts w:ascii="Cambria" w:hAnsi="Cambria"/>
      <w:b/>
      <w:bCs/>
      <w:kern w:val="0"/>
      <w:sz w:val="32"/>
      <w:szCs w:val="32"/>
    </w:rPr>
  </w:style>
  <w:style w:type="paragraph" w:styleId="4">
    <w:name w:val="heading 4"/>
    <w:next w:val="1"/>
    <w:qFormat/>
    <w:uiPriority w:val="0"/>
    <w:pPr>
      <w:keepNext/>
      <w:keepLines/>
      <w:widowControl w:val="0"/>
      <w:spacing w:before="280" w:after="290" w:line="376" w:lineRule="auto"/>
      <w:jc w:val="both"/>
      <w:outlineLvl w:val="3"/>
    </w:pPr>
    <w:rPr>
      <w:rFonts w:ascii="Arial" w:hAnsi="Arial" w:eastAsia="黑体" w:cs="Times New Roman"/>
      <w:b/>
      <w:bCs/>
      <w:kern w:val="2"/>
      <w:sz w:val="28"/>
      <w:szCs w:val="28"/>
      <w:lang w:val="en-US" w:eastAsia="zh-CN" w:bidi="ar-SA"/>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Body Text Indent 2"/>
    <w:basedOn w:val="1"/>
    <w:qFormat/>
    <w:uiPriority w:val="0"/>
    <w:pPr>
      <w:spacing w:after="120" w:line="480" w:lineRule="auto"/>
      <w:ind w:left="420" w:leftChars="200"/>
    </w:pPr>
  </w:style>
  <w:style w:type="paragraph" w:styleId="5">
    <w:name w:val="Normal Indent"/>
    <w:basedOn w:val="1"/>
    <w:next w:val="1"/>
    <w:qFormat/>
    <w:uiPriority w:val="0"/>
    <w:pPr>
      <w:spacing w:line="360" w:lineRule="auto"/>
      <w:ind w:firstLine="420"/>
    </w:pPr>
    <w:rPr>
      <w:rFonts w:ascii="方正仿宋简体" w:hAnsi="方正仿宋简体" w:eastAsia="方正仿宋简体"/>
      <w:szCs w:val="20"/>
    </w:rPr>
  </w:style>
  <w:style w:type="paragraph" w:styleId="6">
    <w:name w:val="Body Text"/>
    <w:basedOn w:val="1"/>
    <w:qFormat/>
    <w:uiPriority w:val="0"/>
    <w:pPr>
      <w:spacing w:after="120"/>
    </w:pPr>
  </w:style>
  <w:style w:type="paragraph" w:styleId="7">
    <w:name w:val="Body Text Indent"/>
    <w:qFormat/>
    <w:uiPriority w:val="0"/>
    <w:pPr>
      <w:widowControl w:val="0"/>
      <w:spacing w:after="120"/>
      <w:ind w:left="420" w:leftChars="200"/>
      <w:jc w:val="both"/>
    </w:pPr>
    <w:rPr>
      <w:rFonts w:ascii="Times New Roman" w:hAnsi="Times New Roman" w:eastAsia="宋体" w:cs="Times New Roman"/>
      <w:kern w:val="2"/>
      <w:sz w:val="24"/>
      <w:szCs w:val="24"/>
      <w:lang w:val="en-US" w:eastAsia="zh-CN" w:bidi="ar-SA"/>
    </w:rPr>
  </w:style>
  <w:style w:type="paragraph" w:styleId="8">
    <w:name w:val="Plain Text"/>
    <w:basedOn w:val="1"/>
    <w:qFormat/>
    <w:uiPriority w:val="0"/>
    <w:rPr>
      <w:rFonts w:ascii="宋体" w:hAnsi="Courier New" w:cs="Courier New"/>
      <w:szCs w:val="21"/>
    </w:rPr>
  </w:style>
  <w:style w:type="paragraph" w:styleId="9">
    <w:name w:val="footer"/>
    <w:basedOn w:val="1"/>
    <w:unhideWhenUsed/>
    <w:qFormat/>
    <w:uiPriority w:val="99"/>
    <w:pPr>
      <w:widowControl w:val="0"/>
      <w:tabs>
        <w:tab w:val="center" w:pos="4153"/>
        <w:tab w:val="right" w:pos="8306"/>
      </w:tabs>
      <w:snapToGrid w:val="0"/>
      <w:jc w:val="left"/>
    </w:pPr>
    <w:rPr>
      <w:rFonts w:ascii="Times New Roman" w:hAnsi="Times New Roman" w:eastAsia="宋体" w:cs="Times New Roman"/>
      <w:kern w:val="0"/>
      <w:sz w:val="18"/>
      <w:szCs w:val="18"/>
      <w:lang w:val="en-US" w:eastAsia="zh-CN" w:bidi="ar-SA"/>
    </w:rPr>
  </w:style>
  <w:style w:type="paragraph" w:styleId="10">
    <w:name w:val="header"/>
    <w:basedOn w:val="1"/>
    <w:unhideWhenUsed/>
    <w:qFormat/>
    <w:uiPriority w:val="0"/>
    <w:pPr>
      <w:widowControl w:val="0"/>
      <w:pBdr>
        <w:bottom w:val="single" w:color="auto" w:sz="6" w:space="1"/>
      </w:pBdr>
      <w:tabs>
        <w:tab w:val="center" w:pos="4153"/>
        <w:tab w:val="right" w:pos="8306"/>
      </w:tabs>
      <w:snapToGrid w:val="0"/>
      <w:jc w:val="center"/>
    </w:pPr>
    <w:rPr>
      <w:rFonts w:ascii="Times New Roman" w:hAnsi="Times New Roman" w:eastAsia="宋体" w:cs="Times New Roman"/>
      <w:kern w:val="0"/>
      <w:sz w:val="18"/>
      <w:szCs w:val="18"/>
      <w:lang w:val="en-US" w:eastAsia="zh-CN" w:bidi="ar-SA"/>
    </w:rPr>
  </w:style>
  <w:style w:type="paragraph" w:styleId="11">
    <w:name w:val="Body Text First Indent 2"/>
    <w:qFormat/>
    <w:uiPriority w:val="0"/>
    <w:pPr>
      <w:widowControl w:val="0"/>
      <w:tabs>
        <w:tab w:val="decimal" w:pos="0"/>
      </w:tabs>
      <w:spacing w:after="120" w:afterLines="0" w:line="240" w:lineRule="auto"/>
      <w:ind w:left="420" w:leftChars="200" w:firstLine="420" w:firstLineChars="200"/>
      <w:jc w:val="both"/>
    </w:pPr>
    <w:rPr>
      <w:rFonts w:ascii="Times New Roman" w:hAnsi="Times New Roman" w:eastAsia="宋体" w:cs="Times New Roman"/>
      <w:spacing w:val="0"/>
      <w:kern w:val="2"/>
      <w:sz w:val="21"/>
      <w:szCs w:val="24"/>
      <w:lang w:val="en-US" w:eastAsia="zh-CN" w:bidi="ar-SA"/>
    </w:rPr>
  </w:style>
  <w:style w:type="paragraph" w:customStyle="1" w:styleId="14">
    <w:name w:val="BodyText1I"/>
    <w:basedOn w:val="15"/>
    <w:qFormat/>
    <w:uiPriority w:val="0"/>
    <w:pPr>
      <w:ind w:firstLine="420" w:firstLineChars="100"/>
    </w:pPr>
    <w:rPr>
      <w:sz w:val="28"/>
      <w:szCs w:val="20"/>
    </w:rPr>
  </w:style>
  <w:style w:type="paragraph" w:customStyle="1" w:styleId="15">
    <w:name w:val="BodyText"/>
    <w:basedOn w:val="1"/>
    <w:qFormat/>
    <w:uiPriority w:val="0"/>
    <w:pPr>
      <w:spacing w:after="120"/>
    </w:pPr>
    <w:rPr>
      <w:szCs w:val="21"/>
    </w:rPr>
  </w:style>
  <w:style w:type="paragraph" w:customStyle="1" w:styleId="16">
    <w:name w:val="Table Text"/>
    <w:basedOn w:val="1"/>
    <w:semiHidden/>
    <w:qFormat/>
    <w:uiPriority w:val="0"/>
    <w:rPr>
      <w:rFonts w:ascii="宋体" w:hAnsi="宋体" w:eastAsia="宋体" w:cs="宋体"/>
      <w:sz w:val="22"/>
      <w:szCs w:val="22"/>
      <w:lang w:val="en-US" w:eastAsia="en-US" w:bidi="ar-SA"/>
    </w:rPr>
  </w:style>
  <w:style w:type="table" w:customStyle="1" w:styleId="17">
    <w:name w:val="Table Normal"/>
    <w:semiHidden/>
    <w:unhideWhenUsed/>
    <w:qFormat/>
    <w:uiPriority w:val="0"/>
    <w:tblPr>
      <w:tblCellMar>
        <w:top w:w="0" w:type="dxa"/>
        <w:left w:w="0" w:type="dxa"/>
        <w:bottom w:w="0" w:type="dxa"/>
        <w:right w:w="0" w:type="dxa"/>
      </w:tblCellMar>
    </w:tblPr>
  </w:style>
  <w:style w:type="paragraph" w:customStyle="1" w:styleId="18">
    <w:name w:val="x正文"/>
    <w:qFormat/>
    <w:uiPriority w:val="0"/>
    <w:pPr>
      <w:widowControl w:val="0"/>
      <w:autoSpaceDE w:val="0"/>
      <w:autoSpaceDN w:val="0"/>
      <w:snapToGrid w:val="0"/>
      <w:spacing w:line="360" w:lineRule="auto"/>
      <w:ind w:firstLine="200" w:firstLineChars="200"/>
      <w:jc w:val="both"/>
      <w:textAlignment w:val="center"/>
    </w:pPr>
    <w:rPr>
      <w:rFonts w:ascii="Times New Roman" w:hAnsi="Times New Roman" w:eastAsia="仿宋_GB2312" w:cs="宋体"/>
      <w:sz w:val="24"/>
      <w:szCs w:val="24"/>
      <w:lang w:val="en-US" w:eastAsia="zh-CN" w:bidi="ar-SA"/>
    </w:rPr>
  </w:style>
  <w:style w:type="paragraph" w:customStyle="1" w:styleId="19">
    <w:name w:val="报告正文"/>
    <w:qFormat/>
    <w:uiPriority w:val="0"/>
    <w:pPr>
      <w:widowControl w:val="0"/>
      <w:adjustRightInd w:val="0"/>
      <w:snapToGrid w:val="0"/>
      <w:spacing w:line="300" w:lineRule="auto"/>
      <w:jc w:val="both"/>
    </w:pPr>
    <w:rPr>
      <w:rFonts w:ascii="宋体" w:hAnsi="Times New Roman" w:eastAsia="宋体" w:cs="Times New Roman"/>
      <w:kern w:val="2"/>
      <w:sz w:val="28"/>
      <w:szCs w:val="20"/>
      <w:lang w:val="en-US" w:eastAsia="zh-CN" w:bidi="ar-SA"/>
    </w:rPr>
  </w:style>
  <w:style w:type="paragraph" w:customStyle="1" w:styleId="20">
    <w:name w:val="Table Paragraph"/>
    <w:basedOn w:val="1"/>
    <w:qFormat/>
    <w:uiPriority w:val="1"/>
    <w:pPr>
      <w:jc w:val="center"/>
    </w:pPr>
    <w:rPr>
      <w:rFonts w:ascii="宋体" w:hAnsi="宋体" w:eastAsia="宋体" w:cs="宋体"/>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d34b97cd-7da1-4453-92b9-f4e30259cbf4</errorID>
      <errorWord>&gt;</errorWord>
      <group>L1_Punc</group>
      <groupName>标点问题</groupName>
      <ability>L2_Punc_CN</ability>
      <abilityName>标点符号问题</abilityName>
      <candidateList/>
      <explain/>
      <paraID>61692D76</paraID>
      <start>0</start>
      <end>1</end>
      <status>unmodified</status>
      <modifiedWord/>
      <trackRevisions>false</trackRevisions>
    </reviewItem>
    <reviewItem>
      <errorID>e62e37d9-f69f-4aa7-a4ba-dcc220119301</errorID>
      <errorWord>&gt;</errorWord>
      <group>L1_Punc</group>
      <groupName>标点问题</groupName>
      <ability>L2_Punc_CN</ability>
      <abilityName>标点符号问题</abilityName>
      <candidateList/>
      <explain/>
      <paraID>3C86B33A</paraID>
      <start>0</start>
      <end>1</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b451aec-5c3c-4836-aa8f-bbaf49415dde}">
  <ds:schemaRefs/>
</ds:datastoreItem>
</file>

<file path=docProps/app.xml><?xml version="1.0" encoding="utf-8"?>
<Properties xmlns="http://schemas.openxmlformats.org/officeDocument/2006/extended-properties" xmlns:vt="http://schemas.openxmlformats.org/officeDocument/2006/docPropsVTypes">
  <Template>Normal.dotm</Template>
  <Pages>7</Pages>
  <Words>2229</Words>
  <Characters>2488</Characters>
  <Lines>0</Lines>
  <Paragraphs>0</Paragraphs>
  <TotalTime>4</TotalTime>
  <ScaleCrop>false</ScaleCrop>
  <LinksUpToDate>false</LinksUpToDate>
  <CharactersWithSpaces>2518</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2024-08-22T03:10:00Z</dcterms:created>
  <dc:creator></dc:creator>
  <cp:lastModifiedBy>89749</cp:lastModifiedBy>
  <cp:lastPrinted>2026-07-27T08:14:00Z</cp:lastPrinted>
  <dcterms:modified xsi:type="dcterms:W3CDTF">2026-07-27T11:04:30Z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y fmtid="{D5CDD505-2E9C-101B-9397-08002B2CF9AE}" pid="3" name="ICV">
    <vt:lpwstr>90D6D2D8BF3E44BCA5679579AE134C3C_13</vt:lpwstr>
  </property>
  <property fmtid="{D5CDD505-2E9C-101B-9397-08002B2CF9AE}" pid="4" name="KSOTemplateDocerSaveRecord">
    <vt:lpwstr>eyJoZGlkIjoiMzI0OWRiMTZiMzRmNjNlMGUwZWQ4OTZmMWRjYmExZDUiLCJ1c2VySWQiOiI1MDE5NjM2MjYifQ==</vt:lpwstr>
  </property>
</Properties>
</file>