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both"/>
        <w:textAlignment w:val="center"/>
        <w:rPr>
          <w:rFonts w:hint="default" w:ascii="Times New Roman" w:hAnsi="Times New Roman" w:eastAsia="方正小标宋_GBK" w:cs="Times New Roman"/>
          <w:b w:val="0"/>
          <w:bCs w:val="0"/>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center"/>
        <w:rPr>
          <w:rFonts w:hint="default" w:ascii="Times New Roman" w:hAnsi="Times New Roman" w:eastAsia="方正小标宋_GBK" w:cs="Times New Roman"/>
          <w:b w:val="0"/>
          <w:bCs w:val="0"/>
          <w:spacing w:val="0"/>
          <w:sz w:val="44"/>
          <w:szCs w:val="44"/>
          <w:lang w:val="en-US" w:eastAsia="zh-CN"/>
        </w:rPr>
      </w:pPr>
    </w:p>
    <w:p>
      <w:pPr>
        <w:pStyle w:val="15"/>
        <w:keepNext w:val="0"/>
        <w:keepLines w:val="0"/>
        <w:pageBreakBefore w:val="0"/>
        <w:overflowPunct/>
        <w:topLinePunct w:val="0"/>
        <w:bidi w:val="0"/>
        <w:spacing w:line="560" w:lineRule="exact"/>
        <w:jc w:val="center"/>
        <w:rPr>
          <w:rFonts w:hint="default" w:ascii="Times New Roman" w:hAnsi="Times New Roman" w:eastAsia="方正小标宋_GBK" w:cs="Times New Roman"/>
          <w:bCs w:val="0"/>
          <w:snapToGrid w:val="0"/>
          <w:color w:val="000000"/>
          <w:spacing w:val="0"/>
          <w:kern w:val="0"/>
          <w:sz w:val="44"/>
          <w:szCs w:val="44"/>
          <w:lang w:val="en-US" w:eastAsia="zh-CN" w:bidi="ar-SA"/>
        </w:rPr>
      </w:pPr>
    </w:p>
    <w:p>
      <w:pPr>
        <w:pStyle w:val="23"/>
        <w:widowControl w:val="0"/>
        <w:spacing w:line="600" w:lineRule="exact"/>
        <w:jc w:val="center"/>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bCs w:val="0"/>
          <w:snapToGrid w:val="0"/>
          <w:color w:val="000000"/>
          <w:spacing w:val="0"/>
          <w:kern w:val="0"/>
          <w:sz w:val="44"/>
          <w:szCs w:val="44"/>
          <w:lang w:val="en-US" w:eastAsia="zh-CN" w:bidi="ar-SA"/>
        </w:rPr>
        <w:t>关于对《</w:t>
      </w:r>
      <w:r>
        <w:rPr>
          <w:rFonts w:hint="eastAsia" w:ascii="Times New Roman" w:hAnsi="Times New Roman" w:eastAsia="方正小标宋_GBK" w:cs="Times New Roman"/>
          <w:bCs w:val="0"/>
          <w:snapToGrid w:val="0"/>
          <w:color w:val="000000"/>
          <w:spacing w:val="0"/>
          <w:kern w:val="0"/>
          <w:sz w:val="44"/>
          <w:szCs w:val="44"/>
          <w:lang w:val="en-US" w:eastAsia="zh-CN" w:bidi="ar-SA"/>
        </w:rPr>
        <w:t>G3033奎屯－独山子－库车高速公路项目施工道路KDK-SGDL-2标段新增便道加宽段（临时用地）占用草原土地复垦及植被恢复方案</w:t>
      </w:r>
      <w:r>
        <w:rPr>
          <w:rFonts w:hint="default" w:ascii="Times New Roman" w:hAnsi="Times New Roman" w:eastAsia="方正小标宋_GBK" w:cs="Times New Roman"/>
          <w:spacing w:val="0"/>
          <w:sz w:val="44"/>
          <w:szCs w:val="44"/>
          <w:lang w:val="en-US" w:eastAsia="zh-CN"/>
        </w:rPr>
        <w:t>》公开征求意见的公告</w:t>
      </w:r>
    </w:p>
    <w:p>
      <w:pPr>
        <w:pStyle w:val="15"/>
        <w:keepNext w:val="0"/>
        <w:keepLines w:val="0"/>
        <w:pageBreakBefore w:val="0"/>
        <w:overflowPunct/>
        <w:topLinePunct w:val="0"/>
        <w:bidi w:val="0"/>
        <w:spacing w:line="560" w:lineRule="exact"/>
        <w:rPr>
          <w:rFonts w:hint="default"/>
          <w:lang w:val="en-US" w:eastAsia="zh-CN"/>
        </w:rPr>
      </w:pPr>
      <w:bookmarkStart w:id="21" w:name="_GoBack"/>
      <w:bookmarkEnd w:id="21"/>
    </w:p>
    <w:p>
      <w:pPr>
        <w:keepNext w:val="0"/>
        <w:keepLines w:val="0"/>
        <w:pageBreakBefore w:val="0"/>
        <w:widowControl/>
        <w:suppressLineNumbers w:val="0"/>
        <w:overflowPunct/>
        <w:topLinePunct w:val="0"/>
        <w:bidi w:val="0"/>
        <w:spacing w:line="560" w:lineRule="exact"/>
        <w:ind w:firstLine="640" w:firstLineChars="200"/>
        <w:jc w:val="left"/>
        <w:rPr>
          <w:rFonts w:hint="default" w:ascii="Times New Roman" w:hAnsi="Times New Roman" w:eastAsia="方正仿宋_GBK" w:cs="Times New Roman"/>
          <w:b w:val="0"/>
          <w:bCs w:val="0"/>
          <w:spacing w:val="0"/>
          <w:sz w:val="32"/>
          <w:szCs w:val="32"/>
          <w:lang w:val="en-US" w:eastAsia="zh-CN"/>
        </w:rPr>
      </w:pPr>
      <w:r>
        <w:rPr>
          <w:rFonts w:hint="default" w:ascii="Times New Roman" w:hAnsi="Times New Roman" w:eastAsia="方正仿宋_GBK" w:cs="Times New Roman"/>
          <w:b w:val="0"/>
          <w:bCs w:val="0"/>
          <w:spacing w:val="0"/>
          <w:sz w:val="32"/>
          <w:szCs w:val="32"/>
          <w:lang w:val="en-US" w:eastAsia="zh-CN"/>
        </w:rPr>
        <w:t>按照《土地复垦方案》文件规定，对《</w:t>
      </w:r>
      <w:r>
        <w:rPr>
          <w:rFonts w:hint="eastAsia" w:ascii="Times New Roman" w:hAnsi="Times New Roman" w:eastAsia="方正仿宋_GBK" w:cs="Times New Roman"/>
          <w:b w:val="0"/>
          <w:bCs w:val="0"/>
          <w:spacing w:val="0"/>
          <w:sz w:val="32"/>
          <w:szCs w:val="32"/>
          <w:lang w:val="en-US" w:eastAsia="zh-CN"/>
        </w:rPr>
        <w:t>G3033奎屯－独山子－库车高速公路项目施工道路KDK-SGDL-2标段新增便道加宽段（临时用地）占用草原土地复垦及植被恢复方案</w:t>
      </w:r>
      <w:r>
        <w:rPr>
          <w:rFonts w:hint="default" w:ascii="Times New Roman" w:hAnsi="Times New Roman" w:eastAsia="方正仿宋_GBK" w:cs="Times New Roman"/>
          <w:b w:val="0"/>
          <w:bCs w:val="0"/>
          <w:spacing w:val="0"/>
          <w:sz w:val="32"/>
          <w:szCs w:val="32"/>
          <w:lang w:val="en-US" w:eastAsia="zh-CN"/>
        </w:rPr>
        <w:t>》，对公众征询意见的公示文件要求，公示如下：</w:t>
      </w: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bookmarkStart w:id="0" w:name="_Toc22955"/>
      <w:bookmarkStart w:id="1" w:name="_Toc340565569"/>
      <w:bookmarkStart w:id="2" w:name="_Toc341112431"/>
      <w:bookmarkStart w:id="3" w:name="_Toc82249315"/>
      <w:bookmarkStart w:id="4" w:name="_Toc340440652"/>
      <w:bookmarkStart w:id="5" w:name="_Toc340565702"/>
      <w:bookmarkStart w:id="6" w:name="_Toc18372"/>
      <w:bookmarkStart w:id="7" w:name="_Toc8106"/>
      <w:r>
        <w:rPr>
          <w:rFonts w:hint="default" w:ascii="Times New Roman" w:hAnsi="Times New Roman" w:eastAsia="方正黑体_GBK" w:cs="Times New Roman"/>
          <w:b w:val="0"/>
          <w:bCs w:val="0"/>
          <w:snapToGrid w:val="0"/>
          <w:color w:val="000000"/>
          <w:kern w:val="0"/>
          <w:sz w:val="32"/>
          <w:szCs w:val="32"/>
          <w:lang w:val="en-US" w:eastAsia="zh-CN" w:bidi="ar-SA"/>
        </w:rPr>
        <w:t>1.1编制背景及过程</w:t>
      </w:r>
      <w:bookmarkEnd w:id="0"/>
      <w:bookmarkEnd w:id="1"/>
      <w:bookmarkEnd w:id="2"/>
      <w:bookmarkEnd w:id="3"/>
      <w:bookmarkEnd w:id="4"/>
      <w:bookmarkEnd w:id="5"/>
      <w:bookmarkEnd w:id="6"/>
      <w:bookmarkEnd w:id="7"/>
    </w:p>
    <w:p>
      <w:pPr>
        <w:keepNext w:val="0"/>
        <w:keepLines w:val="0"/>
        <w:pageBreakBefore w:val="0"/>
        <w:widowControl/>
        <w:suppressLineNumbers w:val="0"/>
        <w:overflowPunct/>
        <w:topLinePunct w:val="0"/>
        <w:bidi w:val="0"/>
        <w:spacing w:line="560" w:lineRule="exact"/>
        <w:ind w:firstLine="640" w:firstLineChars="200"/>
        <w:jc w:val="left"/>
        <w:rPr>
          <w:rFonts w:hint="default" w:ascii="Times New Roman" w:hAnsi="Times New Roman" w:eastAsia="方正仿宋_GBK" w:cs="Times New Roman"/>
          <w:b w:val="0"/>
          <w:bCs w:val="0"/>
          <w:spacing w:val="0"/>
          <w:sz w:val="32"/>
          <w:szCs w:val="32"/>
          <w:lang w:val="en-US" w:eastAsia="zh-CN"/>
        </w:rPr>
      </w:pPr>
      <w:bookmarkStart w:id="8" w:name="_Toc5914"/>
      <w:bookmarkStart w:id="9" w:name="_Toc82249316"/>
      <w:bookmarkStart w:id="10" w:name="_Toc340565703"/>
      <w:bookmarkStart w:id="11" w:name="_Toc340440653"/>
      <w:bookmarkStart w:id="12" w:name="_Toc341112432"/>
      <w:bookmarkStart w:id="13" w:name="_Toc16492"/>
      <w:bookmarkStart w:id="14" w:name="_Toc340565570"/>
      <w:bookmarkStart w:id="15" w:name="_Toc25351"/>
      <w:r>
        <w:rPr>
          <w:rFonts w:hint="default" w:ascii="Times New Roman" w:hAnsi="Times New Roman" w:eastAsia="方正仿宋_GBK" w:cs="Times New Roman"/>
          <w:b w:val="0"/>
          <w:bCs w:val="0"/>
          <w:spacing w:val="0"/>
          <w:sz w:val="32"/>
          <w:szCs w:val="32"/>
          <w:lang w:val="en-US" w:eastAsia="zh-CN"/>
        </w:rPr>
        <w:t>G3033奎屯</w:t>
      </w:r>
      <w:r>
        <w:rPr>
          <w:rFonts w:hint="eastAsia" w:ascii="Times New Roman" w:hAnsi="Times New Roman" w:eastAsia="方正仿宋_GBK" w:cs="Times New Roman"/>
          <w:b w:val="0"/>
          <w:bCs w:val="0"/>
          <w:spacing w:val="0"/>
          <w:sz w:val="32"/>
          <w:szCs w:val="32"/>
          <w:lang w:val="en-US" w:eastAsia="zh-CN"/>
        </w:rPr>
        <w:t>－</w:t>
      </w:r>
      <w:r>
        <w:rPr>
          <w:rFonts w:hint="default" w:ascii="Times New Roman" w:hAnsi="Times New Roman" w:eastAsia="方正仿宋_GBK" w:cs="Times New Roman"/>
          <w:b w:val="0"/>
          <w:bCs w:val="0"/>
          <w:spacing w:val="0"/>
          <w:sz w:val="32"/>
          <w:szCs w:val="32"/>
          <w:lang w:val="en-US" w:eastAsia="zh-CN"/>
        </w:rPr>
        <w:t>独山子</w:t>
      </w:r>
      <w:r>
        <w:rPr>
          <w:rFonts w:hint="eastAsia" w:ascii="Times New Roman" w:hAnsi="Times New Roman" w:eastAsia="方正仿宋_GBK" w:cs="Times New Roman"/>
          <w:b w:val="0"/>
          <w:bCs w:val="0"/>
          <w:spacing w:val="0"/>
          <w:sz w:val="32"/>
          <w:szCs w:val="32"/>
          <w:lang w:val="en-US" w:eastAsia="zh-CN"/>
        </w:rPr>
        <w:t>－</w:t>
      </w:r>
      <w:r>
        <w:rPr>
          <w:rFonts w:hint="default" w:ascii="Times New Roman" w:hAnsi="Times New Roman" w:eastAsia="方正仿宋_GBK" w:cs="Times New Roman"/>
          <w:b w:val="0"/>
          <w:bCs w:val="0"/>
          <w:spacing w:val="0"/>
          <w:sz w:val="32"/>
          <w:szCs w:val="32"/>
          <w:lang w:val="en-US" w:eastAsia="zh-CN"/>
        </w:rPr>
        <w:t>库车高速公路建设中天山通道是新疆实现国家重大战略目标的重要一环，是顺应亚欧大陆国际地缘格局变化，推动</w:t>
      </w:r>
      <w:r>
        <w:rPr>
          <w:rFonts w:hint="eastAsia" w:ascii="Times New Roman" w:hAnsi="Times New Roman" w:eastAsia="方正仿宋_GBK" w:cs="Times New Roman"/>
          <w:b w:val="0"/>
          <w:bCs w:val="0"/>
          <w:spacing w:val="0"/>
          <w:sz w:val="32"/>
          <w:szCs w:val="32"/>
          <w:lang w:val="en-US" w:eastAsia="zh-CN"/>
        </w:rPr>
        <w:t>共建“一带一路”</w:t>
      </w:r>
      <w:r>
        <w:rPr>
          <w:rFonts w:hint="default" w:ascii="Times New Roman" w:hAnsi="Times New Roman" w:eastAsia="方正仿宋_GBK" w:cs="Times New Roman"/>
          <w:b w:val="0"/>
          <w:bCs w:val="0"/>
          <w:spacing w:val="0"/>
          <w:sz w:val="32"/>
          <w:szCs w:val="32"/>
          <w:lang w:val="en-US" w:eastAsia="zh-CN"/>
        </w:rPr>
        <w:t>，打造丝绸之路经济带核心区交通枢纽中心的需要；是建成交通强国新疆篇章，构筑国家综合立体交通网，当好中国式现代化开路先锋的需要；是完整准确全面贯彻新时代党的治疆方略，牢牢扭住新疆工作总目标，巩固国防安全、促进兵地融合发展的需要；是提升运输服务能力，支撑新疆“八大产业集群 ”发展，促进南北疆经济协调发展的需要；是优化新疆经济和空间布局，培育“一圈一带一群 ”，促进新型城镇化的需要；是构建新疆公路干线网骨干通道，提高路网韧性的需要；是落实“旅游兴疆 ”战略，构建天山区域旅游快速通道，构建旅游资源大开发大保护格局的需要。受各方面条件所限，老国道217一直未能实现全季贯通，未能发挥其本应有的通道功能。当前，世界正经历百年未有之大变局，新疆经济社会发展也</w:t>
      </w:r>
      <w:r>
        <w:rPr>
          <w:rFonts w:hint="eastAsia" w:ascii="Times New Roman" w:hAnsi="Times New Roman" w:eastAsia="方正仿宋_GBK" w:cs="Times New Roman"/>
          <w:b w:val="0"/>
          <w:bCs w:val="0"/>
          <w:spacing w:val="0"/>
          <w:sz w:val="32"/>
          <w:szCs w:val="32"/>
          <w:lang w:val="en-US" w:eastAsia="zh-CN"/>
        </w:rPr>
        <w:t>进入</w:t>
      </w:r>
      <w:r>
        <w:rPr>
          <w:rFonts w:hint="default" w:ascii="Times New Roman" w:hAnsi="Times New Roman" w:eastAsia="方正仿宋_GBK" w:cs="Times New Roman"/>
          <w:b w:val="0"/>
          <w:bCs w:val="0"/>
          <w:spacing w:val="0"/>
          <w:sz w:val="32"/>
          <w:szCs w:val="32"/>
          <w:lang w:val="en-US" w:eastAsia="zh-CN"/>
        </w:rPr>
        <w:t>新发展阶段，高标准、高质量的建设独库公路，对打破新疆发展瓶颈，促进全区经济社会高质量发展将起到不可估量的引领、示范和带动作用。 由此，明确本项目的建设目标是：建设“世界领先、平安生态、百年品质、人民满意 ”的</w:t>
      </w:r>
      <w:r>
        <w:rPr>
          <w:rFonts w:hint="eastAsia" w:ascii="Times New Roman" w:hAnsi="Times New Roman" w:eastAsia="方正仿宋_GBK" w:cs="Times New Roman"/>
          <w:b w:val="0"/>
          <w:bCs w:val="0"/>
          <w:spacing w:val="0"/>
          <w:sz w:val="32"/>
          <w:szCs w:val="32"/>
          <w:lang w:val="en-US" w:eastAsia="zh-CN"/>
        </w:rPr>
        <w:t>“一带一路”</w:t>
      </w:r>
      <w:r>
        <w:rPr>
          <w:rFonts w:hint="default" w:ascii="Times New Roman" w:hAnsi="Times New Roman" w:eastAsia="方正仿宋_GBK" w:cs="Times New Roman"/>
          <w:b w:val="0"/>
          <w:bCs w:val="0"/>
          <w:spacing w:val="0"/>
          <w:sz w:val="32"/>
          <w:szCs w:val="32"/>
          <w:lang w:val="en-US" w:eastAsia="zh-CN"/>
        </w:rPr>
        <w:t>新独库地标。本项目已于2022年7月纳入国家公路网规划。交通运输部“ 十 四五 ”规划中将本项目纳入了基础设施建设重大工程中的“ 出疆入藏骨干通道贯通工程 ”专项，要求“扎实开展独山子至库车高速公路等项目前期工作 ”。本项目按双向四车道高速公路标准建设，建设内容包括路线、路基路面、桥涵、隧道、交叉工程、交通工程与沿线设施、绿化工程、临时工程等。本项目的建设不仅是新疆完善现代综合交通体系的关键环节，更是推动区域经济协同、服务国家战略、促进民族团结与社会稳定的重要工程。其必要性体现在路网优化、经济辐射、旅游促进、地形突破、投资拉动及民生保障等多维度，具有显著的社会效益与经济效益。</w:t>
      </w:r>
    </w:p>
    <w:p>
      <w:pPr>
        <w:keepNext w:val="0"/>
        <w:keepLines w:val="0"/>
        <w:pageBreakBefore w:val="0"/>
        <w:widowControl/>
        <w:suppressLineNumbers w:val="0"/>
        <w:overflowPunct/>
        <w:topLinePunct w:val="0"/>
        <w:bidi w:val="0"/>
        <w:spacing w:line="560" w:lineRule="exact"/>
        <w:ind w:firstLine="640" w:firstLineChars="200"/>
        <w:jc w:val="left"/>
        <w:rPr>
          <w:rFonts w:hint="default" w:ascii="Times New Roman" w:hAnsi="Times New Roman" w:eastAsia="方正仿宋_GBK" w:cs="Times New Roman"/>
          <w:b w:val="0"/>
          <w:bCs w:val="0"/>
          <w:spacing w:val="0"/>
          <w:sz w:val="32"/>
          <w:szCs w:val="32"/>
          <w:lang w:val="en-US" w:eastAsia="zh-CN"/>
        </w:rPr>
      </w:pPr>
      <w:r>
        <w:rPr>
          <w:rFonts w:hint="default" w:ascii="Times New Roman" w:hAnsi="Times New Roman" w:eastAsia="方正仿宋_GBK" w:cs="Times New Roman"/>
          <w:b w:val="0"/>
          <w:bCs w:val="0"/>
          <w:spacing w:val="0"/>
          <w:sz w:val="32"/>
          <w:szCs w:val="32"/>
          <w:lang w:val="en-US" w:eastAsia="zh-CN"/>
        </w:rPr>
        <w:t>本项目共临时征占使用面积共</w:t>
      </w:r>
      <w:r>
        <w:rPr>
          <w:rFonts w:hint="eastAsia" w:ascii="Times New Roman" w:hAnsi="Times New Roman" w:eastAsia="方正仿宋_GBK" w:cs="Times New Roman"/>
          <w:b w:val="0"/>
          <w:bCs w:val="0"/>
          <w:spacing w:val="0"/>
          <w:sz w:val="32"/>
          <w:szCs w:val="32"/>
          <w:lang w:val="en-US" w:eastAsia="zh-CN"/>
        </w:rPr>
        <w:t>0.9601公顷（折合14.4015亩），其中天然牧草地0.4556公顷（折合6.834亩），沼泽草地0.1894公顷（折合2.841亩），河流水面0.3151公顷（折合4.7265亩）。</w:t>
      </w:r>
      <w:r>
        <w:rPr>
          <w:rFonts w:hint="default" w:ascii="Times New Roman" w:hAnsi="Times New Roman" w:eastAsia="方正仿宋_GBK" w:cs="Times New Roman"/>
          <w:b w:val="0"/>
          <w:bCs w:val="0"/>
          <w:spacing w:val="0"/>
          <w:sz w:val="32"/>
          <w:szCs w:val="32"/>
          <w:lang w:val="en-US" w:eastAsia="zh-CN"/>
        </w:rPr>
        <w:t>拟占用土地位于和静县辖区</w:t>
      </w:r>
      <w:r>
        <w:rPr>
          <w:rFonts w:hint="eastAsia" w:ascii="Times New Roman" w:hAnsi="Times New Roman" w:eastAsia="方正仿宋_GBK" w:cs="Times New Roman"/>
          <w:b w:val="0"/>
          <w:bCs w:val="0"/>
          <w:spacing w:val="0"/>
          <w:sz w:val="32"/>
          <w:szCs w:val="32"/>
          <w:lang w:val="en-US" w:eastAsia="zh-CN"/>
        </w:rPr>
        <w:t>，</w:t>
      </w:r>
      <w:r>
        <w:rPr>
          <w:rFonts w:hint="default" w:ascii="Times New Roman" w:hAnsi="Times New Roman" w:eastAsia="方正仿宋_GBK" w:cs="Times New Roman"/>
          <w:b w:val="0"/>
          <w:bCs w:val="0"/>
          <w:spacing w:val="0"/>
          <w:sz w:val="32"/>
          <w:szCs w:val="32"/>
          <w:lang w:val="en-US" w:eastAsia="zh-CN"/>
        </w:rPr>
        <w:t>占地类型全部为临时</w:t>
      </w:r>
      <w:r>
        <w:rPr>
          <w:rFonts w:hint="eastAsia" w:ascii="Times New Roman" w:hAnsi="Times New Roman" w:eastAsia="方正仿宋_GBK" w:cs="Times New Roman"/>
          <w:b w:val="0"/>
          <w:bCs w:val="0"/>
          <w:spacing w:val="0"/>
          <w:sz w:val="32"/>
          <w:szCs w:val="32"/>
          <w:lang w:val="en-US" w:eastAsia="zh-CN"/>
        </w:rPr>
        <w:t>便道。</w:t>
      </w:r>
    </w:p>
    <w:p>
      <w:pPr>
        <w:keepNext w:val="0"/>
        <w:keepLines w:val="0"/>
        <w:pageBreakBefore w:val="0"/>
        <w:widowControl/>
        <w:suppressLineNumbers w:val="0"/>
        <w:overflowPunct/>
        <w:topLinePunct w:val="0"/>
        <w:bidi w:val="0"/>
        <w:spacing w:line="560" w:lineRule="exact"/>
        <w:ind w:firstLine="640" w:firstLineChars="200"/>
        <w:jc w:val="left"/>
        <w:rPr>
          <w:rFonts w:hint="default" w:ascii="Times New Roman" w:hAnsi="Times New Roman" w:eastAsia="方正仿宋_GBK" w:cs="Times New Roman"/>
          <w:b w:val="0"/>
          <w:bCs w:val="0"/>
          <w:spacing w:val="0"/>
          <w:sz w:val="32"/>
          <w:szCs w:val="32"/>
          <w:lang w:val="en-US" w:eastAsia="zh-CN"/>
        </w:rPr>
      </w:pPr>
      <w:r>
        <w:rPr>
          <w:rFonts w:hint="default" w:ascii="Times New Roman" w:hAnsi="Times New Roman" w:eastAsia="方正仿宋_GBK" w:cs="Times New Roman"/>
          <w:b w:val="0"/>
          <w:bCs w:val="0"/>
          <w:spacing w:val="0"/>
          <w:sz w:val="32"/>
          <w:szCs w:val="32"/>
          <w:lang w:val="en-US" w:eastAsia="zh-CN"/>
        </w:rPr>
        <w:t>根据国务院颁布的《关于落实国土资源部贯彻实施〈土地复垦条例〉的通知》（新国土资发〔2011〕421号）文件要求，及时复垦利用被损毁的土地，充分挖掘废弃土地潜力，促进土地节约集约利用，保护和改善建设项目周边环境，实现社会经济与生态环境可持续发展，</w:t>
      </w:r>
      <w:r>
        <w:rPr>
          <w:rFonts w:hint="eastAsia" w:ascii="Times New Roman" w:hAnsi="Times New Roman" w:eastAsia="方正仿宋_GBK" w:cs="Times New Roman"/>
          <w:b w:val="0"/>
          <w:bCs w:val="0"/>
          <w:spacing w:val="0"/>
          <w:sz w:val="32"/>
          <w:szCs w:val="32"/>
          <w:lang w:val="en-US" w:eastAsia="zh-CN"/>
        </w:rPr>
        <w:t>新疆路桥建设集团有限公司G3033奎屯－独山子－库车高速公路项目施工道路KDK-SGDL-2标段项目经理部</w:t>
      </w:r>
      <w:r>
        <w:rPr>
          <w:rFonts w:hint="default" w:ascii="Times New Roman" w:hAnsi="Times New Roman" w:eastAsia="方正仿宋_GBK" w:cs="Times New Roman"/>
          <w:b w:val="0"/>
          <w:bCs w:val="0"/>
          <w:spacing w:val="0"/>
          <w:sz w:val="32"/>
          <w:szCs w:val="32"/>
          <w:lang w:val="en-US" w:eastAsia="zh-CN"/>
        </w:rPr>
        <w:t>于2026年</w:t>
      </w:r>
      <w:r>
        <w:rPr>
          <w:rFonts w:hint="eastAsia" w:ascii="Times New Roman" w:hAnsi="Times New Roman" w:eastAsia="方正仿宋_GBK" w:cs="Times New Roman"/>
          <w:b w:val="0"/>
          <w:bCs w:val="0"/>
          <w:spacing w:val="0"/>
          <w:sz w:val="32"/>
          <w:szCs w:val="32"/>
          <w:lang w:val="en-US" w:eastAsia="zh-CN"/>
        </w:rPr>
        <w:t>7</w:t>
      </w:r>
      <w:r>
        <w:rPr>
          <w:rFonts w:hint="default" w:ascii="Times New Roman" w:hAnsi="Times New Roman" w:eastAsia="方正仿宋_GBK" w:cs="Times New Roman"/>
          <w:b w:val="0"/>
          <w:bCs w:val="0"/>
          <w:spacing w:val="0"/>
          <w:sz w:val="32"/>
          <w:szCs w:val="32"/>
          <w:lang w:val="en-US" w:eastAsia="zh-CN"/>
        </w:rPr>
        <w:t>月委托</w:t>
      </w:r>
      <w:r>
        <w:rPr>
          <w:rFonts w:hint="eastAsia" w:ascii="Times New Roman" w:hAnsi="Times New Roman" w:eastAsia="方正仿宋_GBK" w:cs="Times New Roman"/>
          <w:b w:val="0"/>
          <w:bCs w:val="0"/>
          <w:spacing w:val="0"/>
          <w:sz w:val="32"/>
          <w:szCs w:val="32"/>
          <w:lang w:val="en-US" w:eastAsia="zh-CN"/>
        </w:rPr>
        <w:t>新疆硕景工程咨询有限公司</w:t>
      </w:r>
      <w:r>
        <w:rPr>
          <w:rFonts w:hint="default" w:ascii="Times New Roman" w:hAnsi="Times New Roman" w:eastAsia="方正仿宋_GBK" w:cs="Times New Roman"/>
          <w:b w:val="0"/>
          <w:bCs w:val="0"/>
          <w:spacing w:val="0"/>
          <w:sz w:val="32"/>
          <w:szCs w:val="32"/>
          <w:lang w:val="en-US" w:eastAsia="zh-CN"/>
        </w:rPr>
        <w:t>编制《</w:t>
      </w:r>
      <w:r>
        <w:rPr>
          <w:rFonts w:hint="eastAsia" w:ascii="Times New Roman" w:hAnsi="Times New Roman" w:eastAsia="方正仿宋_GBK" w:cs="Times New Roman"/>
          <w:b w:val="0"/>
          <w:bCs w:val="0"/>
          <w:spacing w:val="0"/>
          <w:sz w:val="32"/>
          <w:szCs w:val="32"/>
          <w:lang w:val="en-US" w:eastAsia="zh-CN"/>
        </w:rPr>
        <w:t>G3033奎屯－独山子－库车高速公路项目施工道路KDK-SGDL-2标段新增便道加宽段（临时用地）占用草原土地复垦及植被恢复方案</w:t>
      </w:r>
      <w:r>
        <w:rPr>
          <w:rFonts w:hint="default" w:ascii="Times New Roman" w:hAnsi="Times New Roman" w:eastAsia="方正仿宋_GBK" w:cs="Times New Roman"/>
          <w:b w:val="0"/>
          <w:bCs w:val="0"/>
          <w:spacing w:val="0"/>
          <w:sz w:val="32"/>
          <w:szCs w:val="32"/>
          <w:lang w:val="en-US" w:eastAsia="zh-CN"/>
        </w:rPr>
        <w:t>》。</w:t>
      </w:r>
    </w:p>
    <w:p>
      <w:pPr>
        <w:keepNext w:val="0"/>
        <w:keepLines w:val="0"/>
        <w:pageBreakBefore w:val="0"/>
        <w:widowControl/>
        <w:suppressLineNumbers w:val="0"/>
        <w:overflowPunct/>
        <w:topLinePunct w:val="0"/>
        <w:bidi w:val="0"/>
        <w:spacing w:line="560" w:lineRule="exact"/>
        <w:ind w:firstLine="640" w:firstLineChars="200"/>
        <w:jc w:val="both"/>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1.2复垦方案摘要</w:t>
      </w:r>
      <w:bookmarkEnd w:id="8"/>
      <w:bookmarkEnd w:id="9"/>
      <w:bookmarkEnd w:id="10"/>
      <w:bookmarkEnd w:id="11"/>
      <w:bookmarkEnd w:id="12"/>
      <w:bookmarkEnd w:id="13"/>
      <w:bookmarkEnd w:id="14"/>
      <w:bookmarkEnd w:id="15"/>
      <w:r>
        <w:rPr>
          <w:rFonts w:hint="default" w:ascii="Times New Roman" w:hAnsi="Times New Roman" w:eastAsia="方正黑体_GBK" w:cs="Times New Roman"/>
          <w:b w:val="0"/>
          <w:bCs w:val="0"/>
          <w:snapToGrid w:val="0"/>
          <w:color w:val="000000"/>
          <w:kern w:val="0"/>
          <w:sz w:val="32"/>
          <w:szCs w:val="32"/>
          <w:lang w:val="en-US" w:eastAsia="zh-CN" w:bidi="ar-SA"/>
        </w:rPr>
        <w:tab/>
      </w: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eastAsia" w:ascii="方正楷体_GBK" w:hAnsi="方正楷体_GBK" w:eastAsia="方正楷体_GBK" w:cs="方正楷体_GBK"/>
          <w:sz w:val="32"/>
          <w:szCs w:val="32"/>
          <w:highlight w:val="none"/>
        </w:rPr>
      </w:pPr>
      <w:bookmarkStart w:id="16" w:name="_Toc82249317"/>
      <w:bookmarkStart w:id="17" w:name="_Toc82249318"/>
      <w:r>
        <w:rPr>
          <w:rFonts w:hint="eastAsia" w:ascii="方正楷体_GBK" w:hAnsi="方正楷体_GBK" w:eastAsia="方正楷体_GBK" w:cs="方正楷体_GBK"/>
          <w:sz w:val="32"/>
          <w:szCs w:val="32"/>
          <w:highlight w:val="none"/>
        </w:rPr>
        <w:t>1.2.1服务年限</w:t>
      </w:r>
      <w:bookmarkEnd w:id="16"/>
    </w:p>
    <w:bookmarkEnd w:id="17"/>
    <w:p>
      <w:pPr>
        <w:pStyle w:val="5"/>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方正仿宋_GBK" w:cs="Times New Roman"/>
          <w:b w:val="0"/>
          <w:bCs w:val="0"/>
          <w:snapToGrid w:val="0"/>
          <w:color w:val="000000"/>
          <w:spacing w:val="0"/>
          <w:kern w:val="0"/>
          <w:sz w:val="32"/>
          <w:szCs w:val="32"/>
          <w:lang w:val="en-US" w:eastAsia="zh-CN" w:bidi="ar-SA"/>
        </w:rPr>
      </w:pPr>
      <w:r>
        <w:rPr>
          <w:rFonts w:hint="eastAsia" w:ascii="Times New Roman" w:hAnsi="Times New Roman" w:eastAsia="方正仿宋_GBK" w:cs="Times New Roman"/>
          <w:b w:val="0"/>
          <w:bCs w:val="0"/>
          <w:snapToGrid w:val="0"/>
          <w:color w:val="000000"/>
          <w:spacing w:val="0"/>
          <w:kern w:val="0"/>
          <w:sz w:val="32"/>
          <w:szCs w:val="32"/>
          <w:lang w:val="en-US" w:eastAsia="zh-CN" w:bidi="ar-SA"/>
        </w:rPr>
        <w:t>该项目为G3033奎屯－独山子－库车高速公路项目施工道路KDK-SGDL-2标段新增便道加宽段（临时用地），临时占地2年（2026年7月—2028年6月）。土地复垦滞后于施工期，由于气候特征的影响，设计复垦工期为2个月（2028年7月—2028年8月）。本次申请的临时用地类型为天然牧草地、沼泽草地、河流水面，设置管护期3年。</w:t>
      </w:r>
    </w:p>
    <w:p>
      <w:pPr>
        <w:pStyle w:val="5"/>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方正仿宋_GBK" w:cs="Times New Roman"/>
          <w:b w:val="0"/>
          <w:bCs w:val="0"/>
          <w:snapToGrid w:val="0"/>
          <w:color w:val="000000"/>
          <w:spacing w:val="0"/>
          <w:kern w:val="0"/>
          <w:sz w:val="32"/>
          <w:szCs w:val="32"/>
          <w:lang w:val="en-US" w:eastAsia="zh-CN" w:bidi="ar-SA"/>
        </w:rPr>
      </w:pPr>
      <w:r>
        <w:rPr>
          <w:rFonts w:hint="eastAsia" w:ascii="Times New Roman" w:hAnsi="Times New Roman" w:eastAsia="方正仿宋_GBK" w:cs="Times New Roman"/>
          <w:b w:val="0"/>
          <w:bCs w:val="0"/>
          <w:snapToGrid w:val="0"/>
          <w:color w:val="000000"/>
          <w:spacing w:val="0"/>
          <w:kern w:val="0"/>
          <w:sz w:val="32"/>
          <w:szCs w:val="32"/>
          <w:lang w:val="en-US" w:eastAsia="zh-CN" w:bidi="ar-SA"/>
        </w:rPr>
        <w:t>因此，最终确定本方案的服务年限为5年2个月，即施工期为2026年7月—2028年6月，复垦期为2028年7月—2028年8月。根据《土地法》规定，临时使用土地的使用者应当按照临时使用土地合同约定的用途使用土地，并不得修建永久性建筑物。临时使用土地期限一般不超过二年，重大工程不超过四年的规定。</w:t>
      </w: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1.2.2工程涉及的各类土地面积</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bookmarkStart w:id="18" w:name="_Hlk228967561"/>
      <w:bookmarkStart w:id="19" w:name="OLE_LINK2"/>
      <w:r>
        <w:rPr>
          <w:rFonts w:hint="eastAsia" w:ascii="Times New Roman" w:hAnsi="Times New Roman" w:eastAsia="方正仿宋_GBK" w:cs="Times New Roman"/>
          <w:b w:val="0"/>
          <w:bCs w:val="0"/>
          <w:spacing w:val="0"/>
          <w:sz w:val="32"/>
          <w:szCs w:val="32"/>
          <w:lang w:val="en-US" w:eastAsia="en-US"/>
        </w:rPr>
        <w:t>本项目临时用地总面积共</w:t>
      </w:r>
      <w:r>
        <w:rPr>
          <w:rFonts w:hint="eastAsia" w:ascii="Times New Roman" w:hAnsi="Times New Roman" w:eastAsia="方正仿宋_GBK" w:cs="Times New Roman"/>
          <w:b w:val="0"/>
          <w:bCs w:val="0"/>
          <w:spacing w:val="0"/>
          <w:sz w:val="32"/>
          <w:szCs w:val="32"/>
          <w:lang w:val="en-US" w:eastAsia="zh-CN"/>
        </w:rPr>
        <w:t>0.9601公顷（折合14.4015亩），其中天然牧草地0.4556公顷（折合6.834亩），沼泽草地0.1894公顷（折合2.841亩），河流水面0.3151公顷（折合4.7265亩）</w:t>
      </w:r>
      <w:r>
        <w:rPr>
          <w:rFonts w:hint="eastAsia" w:ascii="Times New Roman" w:hAnsi="Times New Roman" w:eastAsia="方正仿宋_GBK" w:cs="Times New Roman"/>
          <w:b w:val="0"/>
          <w:bCs w:val="0"/>
          <w:spacing w:val="0"/>
          <w:sz w:val="32"/>
          <w:szCs w:val="32"/>
          <w:lang w:val="en-US" w:eastAsia="en-US"/>
        </w:rPr>
        <w:t>。使用土地类型：见下表：</w:t>
      </w:r>
    </w:p>
    <w:p>
      <w:pPr>
        <w:spacing w:line="64" w:lineRule="exact"/>
      </w:pPr>
    </w:p>
    <w:tbl>
      <w:tblPr>
        <w:tblStyle w:val="12"/>
        <w:tblpPr w:leftFromText="180" w:rightFromText="180" w:vertAnchor="text" w:horzAnchor="page" w:tblpX="1206" w:tblpY="1111"/>
        <w:tblOverlap w:val="never"/>
        <w:tblW w:w="533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91"/>
        <w:gridCol w:w="1892"/>
        <w:gridCol w:w="2087"/>
        <w:gridCol w:w="1894"/>
        <w:gridCol w:w="18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79"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名称</w:t>
            </w:r>
          </w:p>
        </w:tc>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微形</w:t>
            </w:r>
          </w:p>
        </w:tc>
        <w:tc>
          <w:tcPr>
            <w:tcW w:w="10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损毁面积</w:t>
            </w:r>
          </w:p>
        </w:tc>
        <w:tc>
          <w:tcPr>
            <w:tcW w:w="980"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土地类型</w:t>
            </w:r>
          </w:p>
        </w:tc>
        <w:tc>
          <w:tcPr>
            <w:tcW w:w="980"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79" w:type="pct"/>
            <w:vMerge w:val="continue"/>
            <w:tcBorders>
              <w:top w:val="single" w:color="000000" w:sz="8" w:space="0"/>
              <w:left w:val="single" w:color="000000" w:sz="8" w:space="0"/>
              <w:bottom w:val="single" w:color="000000" w:sz="8" w:space="0"/>
              <w:right w:val="single" w:color="000000" w:sz="8" w:space="0"/>
            </w:tcBorders>
            <w:noWrap w:val="0"/>
            <w:vAlign w:val="center"/>
          </w:tcPr>
          <w:p>
            <w:pPr>
              <w:rPr>
                <w:rFonts w:hint="eastAsia" w:ascii="仿宋_GB2312" w:hAnsi="宋体" w:eastAsia="仿宋_GB2312" w:cs="仿宋_GB2312"/>
                <w:b/>
                <w:bCs/>
                <w:i w:val="0"/>
                <w:iCs w:val="0"/>
                <w:color w:val="000000"/>
                <w:sz w:val="20"/>
                <w:szCs w:val="20"/>
                <w:u w:val="none"/>
              </w:rPr>
            </w:pPr>
          </w:p>
        </w:tc>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snapToGrid w:val="0"/>
                <w:color w:val="000000"/>
                <w:kern w:val="0"/>
                <w:sz w:val="20"/>
                <w:szCs w:val="20"/>
                <w:u w:val="none"/>
                <w:lang w:val="en-US" w:eastAsia="zh-CN" w:bidi="ar"/>
              </w:rPr>
              <w:t>地貌</w:t>
            </w:r>
          </w:p>
        </w:tc>
        <w:tc>
          <w:tcPr>
            <w:tcW w:w="10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(hm</w:t>
            </w:r>
            <w:r>
              <w:rPr>
                <w:rFonts w:hint="default" w:ascii="Times New Roman" w:hAnsi="Times New Roman" w:eastAsia="宋体" w:cs="Times New Roman"/>
                <w:b/>
                <w:bCs/>
                <w:i w:val="0"/>
                <w:iCs w:val="0"/>
                <w:snapToGrid w:val="0"/>
                <w:color w:val="000000"/>
                <w:kern w:val="0"/>
                <w:sz w:val="10"/>
                <w:szCs w:val="10"/>
                <w:u w:val="none"/>
                <w:lang w:val="en-US" w:eastAsia="zh-CN" w:bidi="ar"/>
              </w:rPr>
              <w:t>2</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980" w:type="pct"/>
            <w:vMerge w:val="continue"/>
            <w:tcBorders>
              <w:top w:val="single" w:color="000000" w:sz="8" w:space="0"/>
              <w:left w:val="single" w:color="000000" w:sz="8" w:space="0"/>
              <w:bottom w:val="single" w:color="000000" w:sz="8" w:space="0"/>
              <w:right w:val="single" w:color="000000" w:sz="8" w:space="0"/>
            </w:tcBorders>
            <w:noWrap w:val="0"/>
            <w:vAlign w:val="center"/>
          </w:tcPr>
          <w:p>
            <w:pPr>
              <w:rPr>
                <w:rFonts w:hint="eastAsia" w:ascii="仿宋_GB2312" w:hAnsi="宋体" w:eastAsia="仿宋_GB2312" w:cs="仿宋_GB2312"/>
                <w:b/>
                <w:bCs/>
                <w:i w:val="0"/>
                <w:iCs w:val="0"/>
                <w:color w:val="000000"/>
                <w:sz w:val="20"/>
                <w:szCs w:val="20"/>
                <w:u w:val="none"/>
              </w:rPr>
            </w:pPr>
          </w:p>
        </w:tc>
        <w:tc>
          <w:tcPr>
            <w:tcW w:w="980" w:type="pct"/>
            <w:vMerge w:val="continue"/>
            <w:tcBorders>
              <w:top w:val="single" w:color="000000" w:sz="8" w:space="0"/>
              <w:left w:val="single" w:color="000000" w:sz="8" w:space="0"/>
              <w:bottom w:val="single" w:color="000000" w:sz="8" w:space="0"/>
              <w:right w:val="single" w:color="000000" w:sz="8" w:space="0"/>
            </w:tcBorders>
            <w:noWrap w:val="0"/>
            <w:vAlign w:val="center"/>
          </w:tcPr>
          <w:p>
            <w:pPr>
              <w:rPr>
                <w:rFonts w:hint="eastAsia" w:ascii="仿宋_GB2312" w:hAnsi="宋体" w:eastAsia="仿宋_GB2312" w:cs="仿宋_GB2312"/>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9"/>
                <w:szCs w:val="19"/>
                <w:u w:val="none"/>
              </w:rPr>
            </w:pPr>
            <w:r>
              <w:rPr>
                <w:rFonts w:hint="eastAsia" w:ascii="仿宋_GB2312" w:hAnsi="宋体" w:eastAsia="仿宋_GB2312" w:cs="仿宋_GB2312"/>
                <w:i w:val="0"/>
                <w:iCs w:val="0"/>
                <w:snapToGrid w:val="0"/>
                <w:color w:val="000000"/>
                <w:kern w:val="0"/>
                <w:sz w:val="19"/>
                <w:szCs w:val="19"/>
                <w:u w:val="none"/>
                <w:lang w:val="en-US" w:eastAsia="zh-CN" w:bidi="ar"/>
              </w:rPr>
              <w:t>便道</w:t>
            </w:r>
          </w:p>
        </w:tc>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9"/>
                <w:szCs w:val="19"/>
                <w:u w:val="none"/>
                <w:lang w:val="en-US" w:eastAsia="zh-CN"/>
              </w:rPr>
            </w:pPr>
            <w:r>
              <w:rPr>
                <w:rFonts w:hint="eastAsia" w:ascii="仿宋_GB2312" w:hAnsi="宋体" w:eastAsia="仿宋_GB2312" w:cs="仿宋_GB2312"/>
                <w:i w:val="0"/>
                <w:iCs w:val="0"/>
                <w:color w:val="000000"/>
                <w:sz w:val="19"/>
                <w:szCs w:val="19"/>
                <w:u w:val="none"/>
                <w:lang w:val="en-US" w:eastAsia="zh-CN"/>
              </w:rPr>
              <w:t>平缓地面</w:t>
            </w:r>
          </w:p>
        </w:tc>
        <w:tc>
          <w:tcPr>
            <w:tcW w:w="10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19"/>
                <w:szCs w:val="19"/>
                <w:u w:val="none"/>
                <w:lang w:val="en-US" w:eastAsia="zh-CN"/>
              </w:rPr>
            </w:pPr>
            <w:r>
              <w:rPr>
                <w:rFonts w:hint="eastAsia" w:ascii="Times New Roman" w:hAnsi="Times New Roman" w:eastAsia="仿宋_GB2312" w:cs="Times New Roman"/>
                <w:i w:val="0"/>
                <w:iCs w:val="0"/>
                <w:color w:val="000000"/>
                <w:sz w:val="19"/>
                <w:szCs w:val="19"/>
                <w:u w:val="none"/>
                <w:lang w:val="en-US" w:eastAsia="zh-CN"/>
              </w:rPr>
              <w:t>0.4556</w:t>
            </w:r>
          </w:p>
        </w:tc>
        <w:tc>
          <w:tcPr>
            <w:tcW w:w="9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r>
              <w:rPr>
                <w:rFonts w:hint="eastAsia" w:ascii="仿宋_GB2312" w:hAnsi="宋体" w:eastAsia="仿宋_GB2312" w:cs="仿宋_GB2312"/>
                <w:i w:val="0"/>
                <w:iCs w:val="0"/>
                <w:color w:val="000000"/>
                <w:sz w:val="19"/>
                <w:szCs w:val="19"/>
                <w:u w:val="none"/>
                <w:lang w:val="en-US" w:eastAsia="zh-CN"/>
              </w:rPr>
              <w:t>天然牧草地</w:t>
            </w:r>
          </w:p>
        </w:tc>
        <w:tc>
          <w:tcPr>
            <w:tcW w:w="980"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19"/>
                <w:szCs w:val="19"/>
                <w:u w:val="none"/>
                <w:lang w:val="en-US" w:eastAsia="zh-CN" w:bidi="ar"/>
              </w:rPr>
            </w:pPr>
            <w:r>
              <w:rPr>
                <w:rFonts w:hint="eastAsia" w:ascii="仿宋_GB2312" w:hAnsi="宋体" w:eastAsia="仿宋_GB2312" w:cs="仿宋_GB2312"/>
                <w:i w:val="0"/>
                <w:iCs w:val="0"/>
                <w:snapToGrid w:val="0"/>
                <w:color w:val="000000"/>
                <w:kern w:val="0"/>
                <w:sz w:val="19"/>
                <w:szCs w:val="19"/>
                <w:u w:val="none"/>
                <w:lang w:val="en-US" w:eastAsia="zh-CN" w:bidi="ar"/>
              </w:rPr>
              <w:t>便道</w:t>
            </w:r>
          </w:p>
        </w:tc>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snapToGrid w:val="0"/>
                <w:color w:val="000000"/>
                <w:kern w:val="0"/>
                <w:sz w:val="19"/>
                <w:szCs w:val="19"/>
                <w:u w:val="none"/>
                <w:lang w:val="en-US" w:eastAsia="zh-CN" w:bidi="ar"/>
              </w:rPr>
            </w:pPr>
            <w:r>
              <w:rPr>
                <w:rFonts w:hint="eastAsia" w:ascii="仿宋_GB2312" w:hAnsi="宋体" w:eastAsia="仿宋_GB2312" w:cs="仿宋_GB2312"/>
                <w:i w:val="0"/>
                <w:iCs w:val="0"/>
                <w:color w:val="000000"/>
                <w:sz w:val="19"/>
                <w:szCs w:val="19"/>
                <w:u w:val="none"/>
                <w:lang w:val="en-US" w:eastAsia="zh-CN"/>
              </w:rPr>
              <w:t>平缓地面</w:t>
            </w:r>
          </w:p>
        </w:tc>
        <w:tc>
          <w:tcPr>
            <w:tcW w:w="10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19"/>
                <w:szCs w:val="19"/>
                <w:u w:val="none"/>
                <w:lang w:val="en-US" w:eastAsia="zh-CN"/>
              </w:rPr>
            </w:pPr>
            <w:r>
              <w:rPr>
                <w:rFonts w:hint="eastAsia" w:ascii="Times New Roman" w:hAnsi="Times New Roman" w:eastAsia="仿宋_GB2312" w:cs="Times New Roman"/>
                <w:i w:val="0"/>
                <w:iCs w:val="0"/>
                <w:color w:val="000000"/>
                <w:sz w:val="19"/>
                <w:szCs w:val="19"/>
                <w:u w:val="none"/>
                <w:lang w:val="en-US" w:eastAsia="zh-CN"/>
              </w:rPr>
              <w:t>0.1894</w:t>
            </w:r>
          </w:p>
        </w:tc>
        <w:tc>
          <w:tcPr>
            <w:tcW w:w="9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r>
              <w:rPr>
                <w:rFonts w:hint="eastAsia" w:ascii="仿宋_GB2312" w:hAnsi="宋体" w:eastAsia="仿宋_GB2312" w:cs="仿宋_GB2312"/>
                <w:i w:val="0"/>
                <w:iCs w:val="0"/>
                <w:color w:val="000000"/>
                <w:sz w:val="19"/>
                <w:szCs w:val="19"/>
                <w:u w:val="none"/>
                <w:lang w:val="en-US" w:eastAsia="zh-CN"/>
              </w:rPr>
              <w:t>沼泽草地</w:t>
            </w:r>
          </w:p>
        </w:tc>
        <w:tc>
          <w:tcPr>
            <w:tcW w:w="980"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19"/>
                <w:szCs w:val="19"/>
                <w:u w:val="none"/>
                <w:lang w:val="en-US" w:eastAsia="zh-CN" w:bidi="ar"/>
              </w:rPr>
            </w:pPr>
            <w:r>
              <w:rPr>
                <w:rFonts w:hint="eastAsia" w:ascii="仿宋_GB2312" w:hAnsi="宋体" w:eastAsia="仿宋_GB2312" w:cs="仿宋_GB2312"/>
                <w:i w:val="0"/>
                <w:iCs w:val="0"/>
                <w:snapToGrid w:val="0"/>
                <w:color w:val="000000"/>
                <w:kern w:val="0"/>
                <w:sz w:val="19"/>
                <w:szCs w:val="19"/>
                <w:u w:val="none"/>
                <w:lang w:val="en-US" w:eastAsia="zh-CN" w:bidi="ar"/>
              </w:rPr>
              <w:t>便道</w:t>
            </w:r>
          </w:p>
        </w:tc>
        <w:tc>
          <w:tcPr>
            <w:tcW w:w="979"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仿宋_GB2312" w:hAnsi="宋体" w:eastAsia="仿宋_GB2312" w:cs="仿宋_GB2312"/>
                <w:i w:val="0"/>
                <w:iCs w:val="0"/>
                <w:snapToGrid w:val="0"/>
                <w:color w:val="000000"/>
                <w:kern w:val="0"/>
                <w:sz w:val="19"/>
                <w:szCs w:val="19"/>
                <w:u w:val="none"/>
                <w:lang w:val="en-US" w:eastAsia="zh-CN" w:bidi="ar"/>
              </w:rPr>
            </w:pPr>
            <w:r>
              <w:rPr>
                <w:rFonts w:hint="eastAsia" w:ascii="仿宋_GB2312" w:hAnsi="宋体" w:eastAsia="仿宋_GB2312" w:cs="仿宋_GB2312"/>
                <w:i w:val="0"/>
                <w:iCs w:val="0"/>
                <w:color w:val="000000"/>
                <w:sz w:val="19"/>
                <w:szCs w:val="19"/>
                <w:u w:val="none"/>
                <w:lang w:val="en-US" w:eastAsia="zh-CN"/>
              </w:rPr>
              <w:t>平缓地面</w:t>
            </w:r>
          </w:p>
        </w:tc>
        <w:tc>
          <w:tcPr>
            <w:tcW w:w="10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19"/>
                <w:szCs w:val="19"/>
                <w:u w:val="none"/>
                <w:lang w:val="en-US" w:eastAsia="zh-CN"/>
              </w:rPr>
            </w:pPr>
            <w:r>
              <w:rPr>
                <w:rFonts w:hint="eastAsia" w:ascii="Times New Roman" w:hAnsi="Times New Roman" w:eastAsia="仿宋_GB2312" w:cs="Times New Roman"/>
                <w:i w:val="0"/>
                <w:iCs w:val="0"/>
                <w:color w:val="000000"/>
                <w:sz w:val="19"/>
                <w:szCs w:val="19"/>
                <w:u w:val="none"/>
                <w:lang w:val="en-US" w:eastAsia="zh-CN"/>
              </w:rPr>
              <w:t>0.3151</w:t>
            </w:r>
          </w:p>
        </w:tc>
        <w:tc>
          <w:tcPr>
            <w:tcW w:w="98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r>
              <w:rPr>
                <w:rFonts w:hint="eastAsia" w:ascii="仿宋_GB2312" w:hAnsi="宋体" w:eastAsia="仿宋_GB2312" w:cs="仿宋_GB2312"/>
                <w:i w:val="0"/>
                <w:iCs w:val="0"/>
                <w:color w:val="000000"/>
                <w:sz w:val="19"/>
                <w:szCs w:val="19"/>
                <w:u w:val="none"/>
                <w:lang w:val="en-US" w:eastAsia="zh-CN"/>
              </w:rPr>
              <w:t>河流水面</w:t>
            </w:r>
          </w:p>
        </w:tc>
        <w:tc>
          <w:tcPr>
            <w:tcW w:w="980"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9"/>
                <w:szCs w:val="19"/>
                <w:u w:val="none"/>
                <w:lang w:val="en-US" w:eastAsia="zh-CN"/>
              </w:rPr>
            </w:pPr>
          </w:p>
        </w:tc>
      </w:tr>
    </w:tbl>
    <w:p>
      <w:pPr>
        <w:keepNext w:val="0"/>
        <w:keepLines w:val="0"/>
        <w:pageBreakBefore w:val="0"/>
        <w:wordWrap/>
        <w:overflowPunct/>
        <w:topLinePunct w:val="0"/>
        <w:bidi w:val="0"/>
        <w:spacing w:before="120" w:beforeLines="50" w:after="120" w:afterLines="50" w:line="560" w:lineRule="exact"/>
        <w:jc w:val="left"/>
        <w:outlineLvl w:val="2"/>
        <w:rPr>
          <w:rFonts w:hint="default" w:ascii="方正楷体_GBK" w:hAnsi="方正楷体_GBK" w:eastAsia="方正楷体_GBK" w:cs="方正楷体_GBK"/>
          <w:sz w:val="32"/>
          <w:szCs w:val="32"/>
        </w:rPr>
      </w:pPr>
      <w:bookmarkStart w:id="20" w:name="_Toc82249319"/>
    </w:p>
    <w:p>
      <w:pPr>
        <w:keepNext w:val="0"/>
        <w:keepLines w:val="0"/>
        <w:pageBreakBefore w:val="0"/>
        <w:wordWrap/>
        <w:overflowPunct/>
        <w:topLinePunct w:val="0"/>
        <w:bidi w:val="0"/>
        <w:spacing w:before="120" w:beforeLines="50" w:after="120" w:afterLines="50" w:line="560" w:lineRule="exact"/>
        <w:jc w:val="left"/>
        <w:outlineLvl w:val="2"/>
        <w:rPr>
          <w:rFonts w:hint="default" w:ascii="方正楷体_GBK" w:hAnsi="方正楷体_GBK" w:eastAsia="方正楷体_GBK" w:cs="方正楷体_GBK"/>
          <w:sz w:val="32"/>
          <w:szCs w:val="32"/>
        </w:rPr>
      </w:pP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1.2.3土地损毁情况</w:t>
      </w:r>
      <w:bookmarkEnd w:id="20"/>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r>
        <w:rPr>
          <w:rFonts w:hint="eastAsia" w:ascii="Times New Roman" w:hAnsi="Times New Roman" w:eastAsia="方正仿宋_GBK" w:cs="Times New Roman"/>
          <w:b w:val="0"/>
          <w:bCs w:val="0"/>
          <w:spacing w:val="0"/>
          <w:sz w:val="32"/>
          <w:szCs w:val="32"/>
          <w:lang w:val="en-US" w:eastAsia="en-US"/>
        </w:rPr>
        <w:t>本方案临时用地面积为</w:t>
      </w:r>
      <w:r>
        <w:rPr>
          <w:rFonts w:hint="eastAsia" w:ascii="Times New Roman" w:hAnsi="Times New Roman" w:eastAsia="方正仿宋_GBK" w:cs="Times New Roman"/>
          <w:b w:val="0"/>
          <w:bCs w:val="0"/>
          <w:spacing w:val="0"/>
          <w:sz w:val="32"/>
          <w:szCs w:val="32"/>
          <w:lang w:val="en-US" w:eastAsia="zh-CN"/>
        </w:rPr>
        <w:t>0.9601公顷（折合14.4015亩）</w:t>
      </w:r>
      <w:r>
        <w:rPr>
          <w:rFonts w:hint="eastAsia" w:ascii="Times New Roman" w:hAnsi="Times New Roman" w:eastAsia="方正仿宋_GBK" w:cs="Times New Roman"/>
          <w:b w:val="0"/>
          <w:bCs w:val="0"/>
          <w:spacing w:val="0"/>
          <w:sz w:val="32"/>
          <w:szCs w:val="32"/>
          <w:lang w:val="en-US" w:eastAsia="en-US"/>
        </w:rPr>
        <w:t>，</w:t>
      </w:r>
      <w:r>
        <w:rPr>
          <w:rFonts w:hint="eastAsia" w:ascii="Times New Roman" w:hAnsi="Times New Roman" w:eastAsia="方正仿宋_GBK" w:cs="Times New Roman"/>
          <w:b w:val="0"/>
          <w:bCs w:val="0"/>
          <w:spacing w:val="0"/>
          <w:sz w:val="32"/>
          <w:szCs w:val="32"/>
          <w:lang w:val="en-US" w:eastAsia="zh-CN"/>
        </w:rPr>
        <w:t>均为临时便道。</w:t>
      </w:r>
      <w:r>
        <w:rPr>
          <w:rFonts w:hint="eastAsia" w:ascii="Times New Roman" w:hAnsi="Times New Roman" w:eastAsia="方正仿宋_GBK" w:cs="Times New Roman"/>
          <w:b w:val="0"/>
          <w:bCs w:val="0"/>
          <w:spacing w:val="0"/>
          <w:sz w:val="32"/>
          <w:szCs w:val="32"/>
          <w:lang w:val="en-US" w:eastAsia="en-US"/>
        </w:rPr>
        <w:t>临时用地损毁地类为天然草原、</w:t>
      </w:r>
      <w:r>
        <w:rPr>
          <w:rFonts w:hint="eastAsia" w:ascii="Times New Roman" w:hAnsi="Times New Roman" w:eastAsia="方正仿宋_GBK" w:cs="Times New Roman"/>
          <w:b w:val="0"/>
          <w:bCs w:val="0"/>
          <w:spacing w:val="0"/>
          <w:sz w:val="32"/>
          <w:szCs w:val="32"/>
          <w:lang w:val="en-US" w:eastAsia="zh-CN"/>
        </w:rPr>
        <w:t>沼泽草地</w:t>
      </w:r>
      <w:r>
        <w:rPr>
          <w:rFonts w:hint="eastAsia" w:ascii="Times New Roman" w:hAnsi="Times New Roman" w:eastAsia="方正仿宋_GBK" w:cs="Times New Roman"/>
          <w:b w:val="0"/>
          <w:bCs w:val="0"/>
          <w:spacing w:val="0"/>
          <w:sz w:val="32"/>
          <w:szCs w:val="32"/>
          <w:lang w:val="en-US" w:eastAsia="en-US"/>
        </w:rPr>
        <w:t>、河流水面，土地损毁形式为压占。</w:t>
      </w:r>
    </w:p>
    <w:p>
      <w:pPr>
        <w:spacing w:before="178" w:line="223" w:lineRule="auto"/>
        <w:ind w:left="2015"/>
        <w:rPr>
          <w:rFonts w:hint="eastAsia" w:ascii="仿宋_GB2312" w:hAnsi="仿宋_GB2312" w:eastAsia="仿宋_GB2312" w:cs="仿宋_GB2312"/>
          <w:sz w:val="28"/>
          <w:szCs w:val="28"/>
        </w:rPr>
      </w:pPr>
      <w:r>
        <w:rPr>
          <w:rFonts w:hint="eastAsia" w:ascii="仿宋_GB2312" w:hAnsi="仿宋_GB2312" w:eastAsia="仿宋_GB2312" w:cs="仿宋_GB2312"/>
          <w:b/>
          <w:bCs/>
          <w:spacing w:val="-8"/>
          <w:sz w:val="28"/>
          <w:szCs w:val="28"/>
        </w:rPr>
        <w:t>表</w:t>
      </w:r>
      <w:r>
        <w:rPr>
          <w:rFonts w:hint="eastAsia" w:ascii="仿宋_GB2312" w:hAnsi="仿宋_GB2312" w:eastAsia="仿宋_GB2312" w:cs="仿宋_GB2312"/>
          <w:spacing w:val="-58"/>
          <w:sz w:val="28"/>
          <w:szCs w:val="28"/>
        </w:rPr>
        <w:t xml:space="preserve"> </w:t>
      </w:r>
      <w:r>
        <w:rPr>
          <w:rFonts w:hint="eastAsia" w:ascii="仿宋_GB2312" w:hAnsi="仿宋_GB2312" w:eastAsia="仿宋_GB2312" w:cs="仿宋_GB2312"/>
          <w:b/>
          <w:bCs/>
          <w:spacing w:val="-8"/>
          <w:sz w:val="28"/>
          <w:szCs w:val="28"/>
        </w:rPr>
        <w:t>7-1</w:t>
      </w:r>
      <w:r>
        <w:rPr>
          <w:rFonts w:hint="eastAsia" w:ascii="仿宋_GB2312" w:hAnsi="仿宋_GB2312" w:eastAsia="仿宋_GB2312" w:cs="仿宋_GB2312"/>
          <w:spacing w:val="-8"/>
          <w:sz w:val="28"/>
          <w:szCs w:val="28"/>
        </w:rPr>
        <w:t xml:space="preserve">   </w:t>
      </w:r>
      <w:r>
        <w:rPr>
          <w:rFonts w:hint="eastAsia" w:ascii="仿宋_GB2312" w:hAnsi="仿宋_GB2312" w:eastAsia="仿宋_GB2312" w:cs="仿宋_GB2312"/>
          <w:b/>
          <w:bCs/>
          <w:spacing w:val="-8"/>
          <w:sz w:val="28"/>
          <w:szCs w:val="28"/>
        </w:rPr>
        <w:t>土地损毁程度评价标准表</w:t>
      </w:r>
    </w:p>
    <w:p>
      <w:pPr>
        <w:spacing w:line="142" w:lineRule="auto"/>
        <w:rPr>
          <w:rFonts w:ascii="Arial"/>
          <w:sz w:val="2"/>
        </w:rPr>
      </w:pPr>
    </w:p>
    <w:tbl>
      <w:tblPr>
        <w:tblStyle w:val="12"/>
        <w:tblW w:w="499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1356"/>
        <w:gridCol w:w="2490"/>
        <w:gridCol w:w="2490"/>
        <w:gridCol w:w="1357"/>
        <w:gridCol w:w="136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749"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土地</w:t>
            </w:r>
            <w:r>
              <w:rPr>
                <w:rStyle w:val="22"/>
                <w:rFonts w:hAnsi="Arial"/>
                <w:snapToGrid w:val="0"/>
                <w:color w:val="000000"/>
                <w:lang w:val="en-US" w:eastAsia="zh-CN" w:bidi="ar"/>
              </w:rPr>
              <w:t>损毁形式</w:t>
            </w:r>
          </w:p>
        </w:tc>
        <w:tc>
          <w:tcPr>
            <w:tcW w:w="1374"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评价因子</w:t>
            </w:r>
          </w:p>
        </w:tc>
        <w:tc>
          <w:tcPr>
            <w:tcW w:w="2875" w:type="pct"/>
            <w:gridSpan w:val="3"/>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土地损毁程度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749"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49"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50"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749"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49"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50"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749"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轻度</w:t>
            </w:r>
          </w:p>
        </w:tc>
        <w:tc>
          <w:tcPr>
            <w:tcW w:w="749"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中度</w:t>
            </w:r>
          </w:p>
        </w:tc>
        <w:tc>
          <w:tcPr>
            <w:tcW w:w="750"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重度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749"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表土层损毁</w:t>
            </w:r>
            <w:r>
              <w:rPr>
                <w:rStyle w:val="22"/>
                <w:rFonts w:hAnsi="Arial"/>
                <w:snapToGrid w:val="0"/>
                <w:color w:val="000000"/>
                <w:lang w:val="en-US" w:eastAsia="zh-CN" w:bidi="ar"/>
              </w:rPr>
              <w:t>厚度</w:t>
            </w:r>
          </w:p>
        </w:tc>
        <w:tc>
          <w:tcPr>
            <w:tcW w:w="1374"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&lt;10</w:t>
            </w:r>
            <w:r>
              <w:rPr>
                <w:rStyle w:val="22"/>
                <w:rFonts w:hAnsi="Arial"/>
                <w:snapToGrid w:val="0"/>
                <w:color w:val="000000"/>
                <w:lang w:val="en-US" w:eastAsia="zh-CN" w:bidi="ar"/>
              </w:rPr>
              <w:t>cm</w:t>
            </w:r>
          </w:p>
        </w:tc>
        <w:tc>
          <w:tcPr>
            <w:tcW w:w="749"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10</w:t>
            </w:r>
            <w:r>
              <w:rPr>
                <w:rFonts w:hint="eastAsia" w:ascii="仿宋_GB2312" w:eastAsia="仿宋_GB2312" w:cs="仿宋_GB2312"/>
                <w:i w:val="0"/>
                <w:iCs w:val="0"/>
                <w:snapToGrid w:val="0"/>
                <w:color w:val="000000"/>
                <w:kern w:val="0"/>
                <w:sz w:val="21"/>
                <w:szCs w:val="21"/>
                <w:u w:val="none"/>
                <w:lang w:val="en-US" w:eastAsia="zh-CN" w:bidi="ar"/>
              </w:rPr>
              <w:t>—</w:t>
            </w:r>
            <w:r>
              <w:rPr>
                <w:rFonts w:hint="eastAsia" w:ascii="仿宋_GB2312" w:hAnsi="Arial" w:eastAsia="仿宋_GB2312" w:cs="仿宋_GB2312"/>
                <w:i w:val="0"/>
                <w:iCs w:val="0"/>
                <w:snapToGrid w:val="0"/>
                <w:color w:val="000000"/>
                <w:kern w:val="0"/>
                <w:sz w:val="21"/>
                <w:szCs w:val="21"/>
                <w:u w:val="none"/>
                <w:lang w:val="en-US" w:eastAsia="zh-CN" w:bidi="ar"/>
              </w:rPr>
              <w:t>20cm</w:t>
            </w:r>
          </w:p>
        </w:tc>
        <w:tc>
          <w:tcPr>
            <w:tcW w:w="750" w:type="pct"/>
            <w:vMerge w:val="restar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&gt;20</w:t>
            </w:r>
            <w:r>
              <w:rPr>
                <w:rStyle w:val="22"/>
                <w:rFonts w:hAnsi="Arial"/>
                <w:snapToGrid w:val="0"/>
                <w:color w:val="000000"/>
                <w:lang w:val="en-US" w:eastAsia="zh-CN" w:bidi="ar"/>
              </w:rPr>
              <w:t>cm</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749" w:type="pct"/>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1374"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49"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c>
          <w:tcPr>
            <w:tcW w:w="750" w:type="pct"/>
            <w:vMerge w:val="continue"/>
            <w:tcBorders>
              <w:tl2br w:val="nil"/>
              <w:tr2bl w:val="nil"/>
            </w:tcBorders>
            <w:shd w:val="clear" w:color="auto" w:fill="auto"/>
            <w:vAlign w:val="center"/>
          </w:tcPr>
          <w:p>
            <w:pPr>
              <w:jc w:val="center"/>
              <w:rPr>
                <w:rFonts w:hint="eastAsia" w:ascii="仿宋_GB2312" w:hAnsi="Arial" w:eastAsia="仿宋_GB2312" w:cs="仿宋_GB2312"/>
                <w:i w:val="0"/>
                <w:iCs w:val="0"/>
                <w:color w:val="000000"/>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749"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压</w:t>
            </w:r>
          </w:p>
        </w:tc>
        <w:tc>
          <w:tcPr>
            <w:tcW w:w="1374"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坡度</w:t>
            </w:r>
          </w:p>
        </w:tc>
        <w:tc>
          <w:tcPr>
            <w:tcW w:w="1374"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&lt;6</w:t>
            </w:r>
            <w:r>
              <w:rPr>
                <w:rStyle w:val="22"/>
                <w:rFonts w:hAnsi="Arial"/>
                <w:snapToGrid w:val="0"/>
                <w:color w:val="000000"/>
                <w:lang w:val="en-US" w:eastAsia="zh-CN" w:bidi="ar"/>
              </w:rPr>
              <w:t xml:space="preserve"> °</w:t>
            </w:r>
          </w:p>
        </w:tc>
        <w:tc>
          <w:tcPr>
            <w:tcW w:w="749"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6-15°</w:t>
            </w:r>
          </w:p>
        </w:tc>
        <w:tc>
          <w:tcPr>
            <w:tcW w:w="750"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&gt;15°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095" w:hRule="atLeast"/>
        </w:trPr>
        <w:tc>
          <w:tcPr>
            <w:tcW w:w="749"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占、</w:t>
            </w:r>
            <w:r>
              <w:rPr>
                <w:rStyle w:val="22"/>
                <w:rFonts w:hAnsi="Arial"/>
                <w:snapToGrid w:val="0"/>
                <w:color w:val="000000"/>
                <w:lang w:val="en-US" w:eastAsia="zh-CN" w:bidi="ar"/>
              </w:rPr>
              <w:t>挖损</w:t>
            </w:r>
          </w:p>
        </w:tc>
        <w:tc>
          <w:tcPr>
            <w:tcW w:w="1374"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压占物</w:t>
            </w:r>
          </w:p>
        </w:tc>
        <w:tc>
          <w:tcPr>
            <w:tcW w:w="1374"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原始土</w:t>
            </w:r>
            <w:r>
              <w:rPr>
                <w:rStyle w:val="22"/>
                <w:rFonts w:hAnsi="Arial"/>
                <w:snapToGrid w:val="0"/>
                <w:color w:val="000000"/>
                <w:lang w:val="en-US" w:eastAsia="zh-CN" w:bidi="ar"/>
              </w:rPr>
              <w:t>壤</w:t>
            </w:r>
          </w:p>
        </w:tc>
        <w:tc>
          <w:tcPr>
            <w:tcW w:w="749"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原始土壤和岩</w:t>
            </w:r>
            <w:r>
              <w:rPr>
                <w:rStyle w:val="22"/>
                <w:rFonts w:hAnsi="Arial"/>
                <w:snapToGrid w:val="0"/>
                <w:color w:val="000000"/>
                <w:lang w:val="en-US" w:eastAsia="zh-CN" w:bidi="ar"/>
              </w:rPr>
              <w:t>石混合物</w:t>
            </w:r>
          </w:p>
        </w:tc>
        <w:tc>
          <w:tcPr>
            <w:tcW w:w="750" w:type="pct"/>
            <w:tcBorders>
              <w:tl2br w:val="nil"/>
              <w:tr2bl w:val="nil"/>
            </w:tcBorders>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snapToGrid w:val="0"/>
                <w:color w:val="000000"/>
                <w:kern w:val="0"/>
                <w:sz w:val="21"/>
                <w:szCs w:val="21"/>
                <w:u w:val="none"/>
                <w:lang w:val="en-US" w:eastAsia="zh-CN" w:bidi="ar"/>
              </w:rPr>
              <w:t>岩土、砾石、建筑物、建筑垃圾</w:t>
            </w:r>
          </w:p>
        </w:tc>
      </w:tr>
    </w:tbl>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r>
        <w:rPr>
          <w:rFonts w:hint="eastAsia" w:ascii="Times New Roman" w:hAnsi="Times New Roman" w:eastAsia="方正仿宋_GBK" w:cs="Times New Roman"/>
          <w:b w:val="0"/>
          <w:bCs w:val="0"/>
          <w:spacing w:val="0"/>
          <w:sz w:val="32"/>
          <w:szCs w:val="32"/>
          <w:lang w:val="en-US" w:eastAsia="en-US"/>
        </w:rPr>
        <w:t>根据土地损毁程度评价标准表7-1，确定临时用地拟损毁土地损毁程度为中度。项目区土地损毁情况见表7-2，复垦责任范围土地损毁情况见表7-3。</w:t>
      </w:r>
    </w:p>
    <w:p>
      <w:pPr>
        <w:spacing w:line="206" w:lineRule="exact"/>
      </w:pPr>
    </w:p>
    <w:tbl>
      <w:tblPr>
        <w:tblStyle w:val="18"/>
        <w:tblW w:w="88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7"/>
        <w:gridCol w:w="1454"/>
        <w:gridCol w:w="1556"/>
        <w:gridCol w:w="1454"/>
        <w:gridCol w:w="1454"/>
        <w:gridCol w:w="14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8840" w:type="dxa"/>
            <w:gridSpan w:val="6"/>
            <w:vAlign w:val="center"/>
          </w:tcPr>
          <w:p>
            <w:pPr>
              <w:spacing w:before="178" w:line="223" w:lineRule="auto"/>
              <w:ind w:left="2015" w:firstLine="265" w:firstLineChars="100"/>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b/>
                <w:bCs/>
                <w:spacing w:val="-8"/>
                <w:sz w:val="28"/>
                <w:szCs w:val="28"/>
              </w:rPr>
              <w:t>表 7-2   项目区土地损毁情况表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4467" w:type="dxa"/>
            <w:gridSpan w:val="3"/>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用地范围</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面积/hm2</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损毁程度</w:t>
            </w:r>
          </w:p>
        </w:tc>
        <w:tc>
          <w:tcPr>
            <w:tcW w:w="1465"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jc w:val="center"/>
        </w:trPr>
        <w:tc>
          <w:tcPr>
            <w:tcW w:w="1457"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拟损毁</w:t>
            </w:r>
          </w:p>
        </w:tc>
        <w:tc>
          <w:tcPr>
            <w:tcW w:w="1556"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天然牧草地</w:t>
            </w:r>
          </w:p>
        </w:tc>
        <w:tc>
          <w:tcPr>
            <w:tcW w:w="1454" w:type="dxa"/>
            <w:vAlign w:val="center"/>
          </w:tcPr>
          <w:p>
            <w:pPr>
              <w:keepNext w:val="0"/>
              <w:keepLines w:val="0"/>
              <w:widowControl/>
              <w:suppressLineNumbers w:val="0"/>
              <w:jc w:val="center"/>
              <w:textAlignment w:val="center"/>
              <w:rPr>
                <w:rFonts w:hint="default"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0.4556</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465"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纳入复垦责任范围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1457"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拟损毁</w:t>
            </w:r>
          </w:p>
        </w:tc>
        <w:tc>
          <w:tcPr>
            <w:tcW w:w="1556"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沼泽草地</w:t>
            </w:r>
          </w:p>
        </w:tc>
        <w:tc>
          <w:tcPr>
            <w:tcW w:w="1454"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0.1894</w:t>
            </w:r>
          </w:p>
        </w:tc>
        <w:tc>
          <w:tcPr>
            <w:tcW w:w="1454"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465"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纳入复垦责任范围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1457" w:type="dxa"/>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454" w:type="dxa"/>
            <w:shd w:val="clear" w:color="auto" w:fill="auto"/>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拟损毁</w:t>
            </w:r>
          </w:p>
        </w:tc>
        <w:tc>
          <w:tcPr>
            <w:tcW w:w="1556"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河流水面</w:t>
            </w:r>
          </w:p>
        </w:tc>
        <w:tc>
          <w:tcPr>
            <w:tcW w:w="1454"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0.3151</w:t>
            </w:r>
          </w:p>
        </w:tc>
        <w:tc>
          <w:tcPr>
            <w:tcW w:w="1454" w:type="dxa"/>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snapToGrid w:val="0"/>
                <w:color w:val="000000"/>
                <w:kern w:val="0"/>
                <w:sz w:val="19"/>
                <w:szCs w:val="19"/>
                <w:u w:val="none"/>
                <w:lang w:val="en-US" w:eastAsia="zh-CN" w:bidi="ar-SA"/>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465" w:type="dxa"/>
            <w:shd w:val="clear" w:color="auto" w:fill="auto"/>
            <w:vAlign w:val="center"/>
          </w:tcPr>
          <w:p>
            <w:pPr>
              <w:keepNext w:val="0"/>
              <w:keepLines w:val="0"/>
              <w:widowControl/>
              <w:suppressLineNumbers w:val="0"/>
              <w:jc w:val="center"/>
              <w:textAlignment w:val="bottom"/>
              <w:rPr>
                <w:rFonts w:hint="eastAsia" w:ascii="仿宋_GB2312" w:hAnsi="宋体" w:eastAsia="仿宋_GB2312" w:cs="仿宋_GB2312"/>
                <w:i w:val="0"/>
                <w:iCs w:val="0"/>
                <w:snapToGrid w:val="0"/>
                <w:color w:val="000000"/>
                <w:kern w:val="0"/>
                <w:sz w:val="19"/>
                <w:szCs w:val="19"/>
                <w:u w:val="none"/>
                <w:lang w:val="en-US" w:eastAsia="zh-CN" w:bidi="ar-SA"/>
              </w:rPr>
            </w:pPr>
            <w:r>
              <w:rPr>
                <w:rFonts w:hint="eastAsia" w:ascii="仿宋_GB2312" w:hAnsi="Arial" w:eastAsia="仿宋_GB2312" w:cs="仿宋_GB2312"/>
                <w:i w:val="0"/>
                <w:iCs w:val="0"/>
                <w:snapToGrid w:val="0"/>
                <w:color w:val="000000"/>
                <w:kern w:val="0"/>
                <w:sz w:val="21"/>
                <w:szCs w:val="21"/>
                <w:u w:val="none"/>
                <w:lang w:val="en-US" w:eastAsia="zh-CN" w:bidi="ar"/>
              </w:rPr>
              <w:t>纳入复垦责任范围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jc w:val="center"/>
        </w:trPr>
        <w:tc>
          <w:tcPr>
            <w:tcW w:w="2911" w:type="dxa"/>
            <w:gridSpan w:val="2"/>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合计</w:t>
            </w:r>
          </w:p>
        </w:tc>
        <w:tc>
          <w:tcPr>
            <w:tcW w:w="5929" w:type="dxa"/>
            <w:gridSpan w:val="4"/>
            <w:vAlign w:val="center"/>
          </w:tcPr>
          <w:p>
            <w:pPr>
              <w:keepNext w:val="0"/>
              <w:keepLines w:val="0"/>
              <w:widowControl/>
              <w:suppressLineNumbers w:val="0"/>
              <w:jc w:val="center"/>
              <w:textAlignment w:val="bottom"/>
              <w:rPr>
                <w:rFonts w:hint="default"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0.9601</w:t>
            </w:r>
          </w:p>
        </w:tc>
      </w:tr>
    </w:tbl>
    <w:p>
      <w:pPr>
        <w:pStyle w:val="5"/>
        <w:tabs>
          <w:tab w:val="left" w:pos="2402"/>
        </w:tabs>
        <w:spacing w:line="415" w:lineRule="auto"/>
        <w:rPr>
          <w:rFonts w:hint="eastAsia" w:eastAsia="宋体"/>
          <w:lang w:eastAsia="zh-CN"/>
        </w:rPr>
      </w:pPr>
    </w:p>
    <w:tbl>
      <w:tblPr>
        <w:tblStyle w:val="18"/>
        <w:tblpPr w:leftFromText="180" w:rightFromText="180" w:vertAnchor="text" w:horzAnchor="page" w:tblpX="1572" w:tblpY="321"/>
        <w:tblOverlap w:val="never"/>
        <w:tblW w:w="87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1"/>
        <w:gridCol w:w="1392"/>
        <w:gridCol w:w="1478"/>
        <w:gridCol w:w="1329"/>
        <w:gridCol w:w="16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8760" w:type="dxa"/>
            <w:gridSpan w:val="5"/>
            <w:vAlign w:val="center"/>
          </w:tcPr>
          <w:p>
            <w:pPr>
              <w:pStyle w:val="5"/>
              <w:spacing w:line="415" w:lineRule="auto"/>
              <w:jc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b/>
                <w:bCs/>
                <w:spacing w:val="-8"/>
                <w:sz w:val="28"/>
                <w:szCs w:val="28"/>
              </w:rPr>
              <w:t>表 7-3   复垦责任范围土地损毁情况表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2871"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评价单元</w:t>
            </w:r>
          </w:p>
        </w:tc>
        <w:tc>
          <w:tcPr>
            <w:tcW w:w="1392"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土地类型</w:t>
            </w:r>
          </w:p>
        </w:tc>
        <w:tc>
          <w:tcPr>
            <w:tcW w:w="1478"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损毁方式</w:t>
            </w:r>
          </w:p>
        </w:tc>
        <w:tc>
          <w:tcPr>
            <w:tcW w:w="1329"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损毁程度</w:t>
            </w:r>
          </w:p>
        </w:tc>
        <w:tc>
          <w:tcPr>
            <w:tcW w:w="1690"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损毁面积hm2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871"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392"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天然牧草地</w:t>
            </w:r>
          </w:p>
        </w:tc>
        <w:tc>
          <w:tcPr>
            <w:tcW w:w="1478"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压占</w:t>
            </w:r>
          </w:p>
        </w:tc>
        <w:tc>
          <w:tcPr>
            <w:tcW w:w="1329"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690"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0.4556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2871"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392"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沼泽草地</w:t>
            </w:r>
          </w:p>
        </w:tc>
        <w:tc>
          <w:tcPr>
            <w:tcW w:w="1478"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p>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压占</w:t>
            </w:r>
          </w:p>
        </w:tc>
        <w:tc>
          <w:tcPr>
            <w:tcW w:w="1329"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p>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690"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0.1894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871" w:type="dxa"/>
            <w:vAlign w:val="center"/>
          </w:tcPr>
          <w:p>
            <w:pPr>
              <w:keepNext w:val="0"/>
              <w:keepLines w:val="0"/>
              <w:widowControl/>
              <w:suppressLineNumbers w:val="0"/>
              <w:jc w:val="center"/>
              <w:textAlignment w:val="bottom"/>
              <w:rPr>
                <w:rFonts w:hint="eastAsia" w:ascii="仿宋_GB2312"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392"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color w:val="000000"/>
                <w:sz w:val="19"/>
                <w:szCs w:val="19"/>
                <w:u w:val="none"/>
                <w:lang w:val="en-US" w:eastAsia="zh-CN"/>
              </w:rPr>
              <w:t>河流水面</w:t>
            </w:r>
          </w:p>
        </w:tc>
        <w:tc>
          <w:tcPr>
            <w:tcW w:w="1478"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压占</w:t>
            </w:r>
          </w:p>
        </w:tc>
        <w:tc>
          <w:tcPr>
            <w:tcW w:w="1329"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轻</w:t>
            </w:r>
            <w:r>
              <w:rPr>
                <w:rFonts w:hint="eastAsia" w:ascii="仿宋_GB2312" w:hAnsi="Arial" w:eastAsia="仿宋_GB2312" w:cs="仿宋_GB2312"/>
                <w:i w:val="0"/>
                <w:iCs w:val="0"/>
                <w:snapToGrid w:val="0"/>
                <w:color w:val="000000"/>
                <w:kern w:val="0"/>
                <w:sz w:val="21"/>
                <w:szCs w:val="21"/>
                <w:u w:val="none"/>
                <w:lang w:val="en-US" w:eastAsia="zh-CN" w:bidi="ar"/>
              </w:rPr>
              <w:t>度</w:t>
            </w:r>
          </w:p>
        </w:tc>
        <w:tc>
          <w:tcPr>
            <w:tcW w:w="1690" w:type="dxa"/>
            <w:vAlign w:val="center"/>
          </w:tcPr>
          <w:p>
            <w:pPr>
              <w:keepNext w:val="0"/>
              <w:keepLines w:val="0"/>
              <w:widowControl/>
              <w:suppressLineNumbers w:val="0"/>
              <w:jc w:val="center"/>
              <w:textAlignment w:val="center"/>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Times New Roman" w:hAnsi="Times New Roman" w:eastAsia="仿宋_GB2312" w:cs="Times New Roman"/>
                <w:i w:val="0"/>
                <w:iCs w:val="0"/>
                <w:color w:val="000000"/>
                <w:sz w:val="19"/>
                <w:szCs w:val="19"/>
                <w:u w:val="none"/>
                <w:lang w:val="en-US" w:eastAsia="zh-CN"/>
              </w:rPr>
              <w:t>0.3151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2871"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合计</w:t>
            </w:r>
          </w:p>
        </w:tc>
        <w:tc>
          <w:tcPr>
            <w:tcW w:w="1392"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w:t>
            </w:r>
          </w:p>
        </w:tc>
        <w:tc>
          <w:tcPr>
            <w:tcW w:w="1478"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w:t>
            </w:r>
          </w:p>
        </w:tc>
        <w:tc>
          <w:tcPr>
            <w:tcW w:w="1329" w:type="dxa"/>
            <w:vAlign w:val="center"/>
          </w:tcPr>
          <w:p>
            <w:pPr>
              <w:keepNext w:val="0"/>
              <w:keepLines w:val="0"/>
              <w:widowControl/>
              <w:suppressLineNumbers w:val="0"/>
              <w:jc w:val="center"/>
              <w:textAlignment w:val="bottom"/>
              <w:rPr>
                <w:rFonts w:hint="eastAsia" w:ascii="仿宋_GB2312" w:hAnsi="Arial" w:eastAsia="仿宋_GB2312" w:cs="仿宋_GB2312"/>
                <w:i w:val="0"/>
                <w:iCs w:val="0"/>
                <w:snapToGrid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1"/>
                <w:szCs w:val="21"/>
                <w:u w:val="none"/>
                <w:lang w:val="en-US" w:eastAsia="zh-CN" w:bidi="ar"/>
              </w:rPr>
              <w:t>—</w:t>
            </w:r>
          </w:p>
        </w:tc>
        <w:tc>
          <w:tcPr>
            <w:tcW w:w="1690" w:type="dxa"/>
            <w:vAlign w:val="center"/>
          </w:tcPr>
          <w:p>
            <w:pPr>
              <w:keepNext w:val="0"/>
              <w:keepLines w:val="0"/>
              <w:widowControl/>
              <w:suppressLineNumbers w:val="0"/>
              <w:jc w:val="center"/>
              <w:textAlignment w:val="bottom"/>
              <w:rPr>
                <w:rFonts w:hint="default" w:ascii="仿宋_GB2312" w:hAnsi="Arial" w:eastAsia="仿宋_GB2312" w:cs="仿宋_GB2312"/>
                <w:i w:val="0"/>
                <w:iCs w:val="0"/>
                <w:snapToGrid w:val="0"/>
                <w:color w:val="000000"/>
                <w:kern w:val="0"/>
                <w:sz w:val="21"/>
                <w:szCs w:val="21"/>
                <w:u w:val="none"/>
                <w:lang w:val="en-US" w:eastAsia="zh-CN" w:bidi="ar"/>
              </w:rPr>
            </w:pPr>
            <w:r>
              <w:rPr>
                <w:rFonts w:hint="eastAsia" w:ascii="仿宋_GB2312" w:eastAsia="仿宋_GB2312" w:cs="仿宋_GB2312"/>
                <w:i w:val="0"/>
                <w:iCs w:val="0"/>
                <w:snapToGrid w:val="0"/>
                <w:color w:val="000000"/>
                <w:kern w:val="0"/>
                <w:sz w:val="21"/>
                <w:szCs w:val="21"/>
                <w:u w:val="none"/>
                <w:lang w:val="en-US" w:eastAsia="zh-CN" w:bidi="ar"/>
              </w:rPr>
              <w:t>0.9601</w:t>
            </w:r>
          </w:p>
        </w:tc>
      </w:tr>
    </w:tbl>
    <w:p>
      <w:pPr>
        <w:spacing w:before="178" w:line="223" w:lineRule="auto"/>
        <w:ind w:left="2015"/>
        <w:rPr>
          <w:rFonts w:hint="eastAsia" w:ascii="仿宋_GB2312" w:hAnsi="仿宋_GB2312" w:eastAsia="仿宋_GB2312" w:cs="仿宋_GB2312"/>
          <w:b/>
          <w:bCs/>
          <w:spacing w:val="-8"/>
          <w:sz w:val="28"/>
          <w:szCs w:val="28"/>
        </w:rPr>
      </w:pP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1.2.4土地复垦目标</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r>
        <w:rPr>
          <w:rFonts w:hint="eastAsia" w:ascii="Times New Roman" w:hAnsi="Times New Roman" w:eastAsia="方正仿宋_GBK" w:cs="Times New Roman"/>
          <w:b w:val="0"/>
          <w:bCs w:val="0"/>
          <w:spacing w:val="0"/>
          <w:sz w:val="32"/>
          <w:szCs w:val="32"/>
          <w:lang w:val="en-US" w:eastAsia="en-US"/>
        </w:rPr>
        <w:t>在尽量确保复垦方向与</w:t>
      </w:r>
      <w:r>
        <w:rPr>
          <w:rFonts w:hint="eastAsia" w:ascii="Times New Roman" w:hAnsi="Times New Roman" w:eastAsia="方正仿宋_GBK" w:cs="Times New Roman"/>
          <w:b w:val="0"/>
          <w:bCs w:val="0"/>
          <w:spacing w:val="0"/>
          <w:sz w:val="32"/>
          <w:szCs w:val="32"/>
          <w:lang w:val="en-US" w:eastAsia="zh-CN"/>
        </w:rPr>
        <w:t>国土空间</w:t>
      </w:r>
      <w:r>
        <w:rPr>
          <w:rFonts w:hint="eastAsia" w:ascii="Times New Roman" w:hAnsi="Times New Roman" w:eastAsia="方正仿宋_GBK" w:cs="Times New Roman"/>
          <w:b w:val="0"/>
          <w:bCs w:val="0"/>
          <w:spacing w:val="0"/>
          <w:sz w:val="32"/>
          <w:szCs w:val="32"/>
          <w:lang w:val="en-US" w:eastAsia="en-US"/>
        </w:rPr>
        <w:t>总体规划、周边景观保持一致的情况下，根据土地复垦适宜性评价结果，结合项目区自然环境特征，确定项目区最终的土地复垦方向、复垦面积及土地复垦率。本方案土地复垦目标为恢复原有地类，本方案复垦区责任范围面积</w:t>
      </w:r>
      <w:r>
        <w:rPr>
          <w:rFonts w:hint="eastAsia" w:ascii="Times New Roman" w:hAnsi="Times New Roman" w:eastAsia="方正仿宋_GBK" w:cs="Times New Roman"/>
          <w:b w:val="0"/>
          <w:bCs w:val="0"/>
          <w:spacing w:val="0"/>
          <w:sz w:val="32"/>
          <w:szCs w:val="32"/>
          <w:lang w:val="en-US" w:eastAsia="zh-CN"/>
        </w:rPr>
        <w:t>0.9601公顷（折合14.4015亩）</w:t>
      </w:r>
      <w:r>
        <w:rPr>
          <w:rFonts w:hint="eastAsia" w:ascii="Times New Roman" w:hAnsi="Times New Roman" w:eastAsia="方正仿宋_GBK" w:cs="Times New Roman"/>
          <w:b w:val="0"/>
          <w:bCs w:val="0"/>
          <w:spacing w:val="0"/>
          <w:sz w:val="32"/>
          <w:szCs w:val="32"/>
          <w:lang w:val="en-US" w:eastAsia="en-US"/>
        </w:rPr>
        <w:t>，拟复垦面积</w:t>
      </w:r>
      <w:r>
        <w:rPr>
          <w:rFonts w:hint="eastAsia" w:ascii="Times New Roman" w:hAnsi="Times New Roman" w:eastAsia="方正仿宋_GBK" w:cs="Times New Roman"/>
          <w:b w:val="0"/>
          <w:bCs w:val="0"/>
          <w:spacing w:val="0"/>
          <w:sz w:val="32"/>
          <w:szCs w:val="32"/>
          <w:lang w:val="en-US" w:eastAsia="zh-CN"/>
        </w:rPr>
        <w:t>0.9601公顷（折合14.4015亩）</w:t>
      </w:r>
      <w:r>
        <w:rPr>
          <w:rFonts w:hint="eastAsia" w:ascii="Times New Roman" w:hAnsi="Times New Roman" w:eastAsia="方正仿宋_GBK" w:cs="Times New Roman"/>
          <w:b w:val="0"/>
          <w:bCs w:val="0"/>
          <w:spacing w:val="0"/>
          <w:sz w:val="32"/>
          <w:szCs w:val="32"/>
          <w:lang w:val="en-US" w:eastAsia="en-US"/>
        </w:rPr>
        <w:t>，土地复垦率为100%。本方案复垦前后土地利用结构调整表见7-4。</w:t>
      </w:r>
    </w:p>
    <w:p>
      <w:pPr>
        <w:spacing w:before="219" w:line="222" w:lineRule="auto"/>
        <w:ind w:left="1991"/>
        <w:rPr>
          <w:rFonts w:ascii="黑体" w:hAnsi="黑体" w:eastAsia="黑体" w:cs="黑体"/>
          <w:sz w:val="30"/>
          <w:szCs w:val="30"/>
        </w:rPr>
      </w:pPr>
      <w:r>
        <w:rPr>
          <w:rFonts w:ascii="黑体" w:hAnsi="黑体" w:eastAsia="黑体" w:cs="黑体"/>
          <w:spacing w:val="-2"/>
          <w:sz w:val="30"/>
          <w:szCs w:val="30"/>
        </w:rPr>
        <w:t>表</w:t>
      </w:r>
      <w:r>
        <w:rPr>
          <w:rFonts w:ascii="黑体" w:hAnsi="黑体" w:eastAsia="黑体" w:cs="黑体"/>
          <w:spacing w:val="-55"/>
          <w:sz w:val="30"/>
          <w:szCs w:val="30"/>
        </w:rPr>
        <w:t xml:space="preserve"> </w:t>
      </w:r>
      <w:r>
        <w:rPr>
          <w:rFonts w:ascii="Times New Roman" w:hAnsi="Times New Roman" w:eastAsia="Times New Roman" w:cs="Times New Roman"/>
          <w:spacing w:val="-2"/>
          <w:sz w:val="30"/>
          <w:szCs w:val="30"/>
        </w:rPr>
        <w:t xml:space="preserve">7-4   </w:t>
      </w:r>
      <w:r>
        <w:rPr>
          <w:rFonts w:ascii="黑体" w:hAnsi="黑体" w:eastAsia="黑体" w:cs="黑体"/>
          <w:spacing w:val="-2"/>
          <w:sz w:val="30"/>
          <w:szCs w:val="30"/>
        </w:rPr>
        <w:t>复垦前后土地利用结构调整表</w:t>
      </w:r>
    </w:p>
    <w:p>
      <w:pPr>
        <w:spacing w:line="206" w:lineRule="exact"/>
      </w:pPr>
    </w:p>
    <w:tbl>
      <w:tblPr>
        <w:tblStyle w:val="18"/>
        <w:tblW w:w="8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5"/>
        <w:gridCol w:w="1994"/>
        <w:gridCol w:w="1911"/>
        <w:gridCol w:w="1912"/>
        <w:gridCol w:w="13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1665" w:type="dxa"/>
            <w:vAlign w:val="center"/>
          </w:tcPr>
          <w:p>
            <w:pPr>
              <w:spacing w:line="221" w:lineRule="auto"/>
              <w:ind w:left="259"/>
              <w:jc w:val="center"/>
              <w:rPr>
                <w:rFonts w:ascii="仿宋" w:hAnsi="仿宋" w:eastAsia="仿宋" w:cs="仿宋"/>
                <w:sz w:val="21"/>
                <w:szCs w:val="21"/>
              </w:rPr>
            </w:pPr>
            <w:r>
              <w:rPr>
                <w:rFonts w:ascii="仿宋" w:hAnsi="仿宋" w:eastAsia="仿宋" w:cs="仿宋"/>
                <w:spacing w:val="-5"/>
                <w:sz w:val="21"/>
                <w:szCs w:val="21"/>
              </w:rPr>
              <w:t>评价单元</w:t>
            </w:r>
          </w:p>
        </w:tc>
        <w:tc>
          <w:tcPr>
            <w:tcW w:w="1994" w:type="dxa"/>
            <w:vAlign w:val="center"/>
          </w:tcPr>
          <w:p>
            <w:pPr>
              <w:spacing w:before="1" w:line="224" w:lineRule="auto"/>
              <w:ind w:left="420"/>
              <w:jc w:val="center"/>
              <w:rPr>
                <w:rFonts w:ascii="仿宋" w:hAnsi="仿宋" w:eastAsia="仿宋" w:cs="仿宋"/>
                <w:sz w:val="21"/>
                <w:szCs w:val="21"/>
              </w:rPr>
            </w:pPr>
            <w:r>
              <w:rPr>
                <w:rFonts w:ascii="仿宋" w:hAnsi="仿宋" w:eastAsia="仿宋" w:cs="仿宋"/>
                <w:spacing w:val="-6"/>
                <w:sz w:val="21"/>
                <w:szCs w:val="21"/>
              </w:rPr>
              <w:t>土地类型</w:t>
            </w:r>
          </w:p>
        </w:tc>
        <w:tc>
          <w:tcPr>
            <w:tcW w:w="1911" w:type="dxa"/>
            <w:vAlign w:val="center"/>
          </w:tcPr>
          <w:p>
            <w:pPr>
              <w:spacing w:line="222" w:lineRule="auto"/>
              <w:ind w:left="267"/>
              <w:jc w:val="center"/>
              <w:rPr>
                <w:rFonts w:ascii="Times New Roman" w:hAnsi="Times New Roman" w:eastAsia="Times New Roman" w:cs="Times New Roman"/>
                <w:sz w:val="21"/>
                <w:szCs w:val="21"/>
              </w:rPr>
            </w:pPr>
            <w:r>
              <w:rPr>
                <w:rFonts w:ascii="仿宋" w:hAnsi="仿宋" w:eastAsia="仿宋" w:cs="仿宋"/>
                <w:spacing w:val="-5"/>
                <w:sz w:val="21"/>
                <w:szCs w:val="21"/>
              </w:rPr>
              <w:t>复垦前</w:t>
            </w:r>
            <w:r>
              <w:rPr>
                <w:rFonts w:ascii="Times New Roman" w:hAnsi="Times New Roman" w:eastAsia="Times New Roman" w:cs="Times New Roman"/>
                <w:spacing w:val="-5"/>
                <w:sz w:val="21"/>
                <w:szCs w:val="21"/>
              </w:rPr>
              <w:t>/hm</w:t>
            </w:r>
            <w:r>
              <w:rPr>
                <w:rFonts w:ascii="Times New Roman" w:hAnsi="Times New Roman" w:eastAsia="Times New Roman" w:cs="Times New Roman"/>
                <w:spacing w:val="-5"/>
                <w:position w:val="8"/>
                <w:sz w:val="21"/>
                <w:szCs w:val="21"/>
              </w:rPr>
              <w:t>2</w:t>
            </w:r>
          </w:p>
        </w:tc>
        <w:tc>
          <w:tcPr>
            <w:tcW w:w="1912" w:type="dxa"/>
            <w:vAlign w:val="center"/>
          </w:tcPr>
          <w:p>
            <w:pPr>
              <w:spacing w:line="223" w:lineRule="auto"/>
              <w:ind w:left="269"/>
              <w:jc w:val="center"/>
              <w:rPr>
                <w:rFonts w:ascii="Times New Roman" w:hAnsi="Times New Roman" w:eastAsia="Times New Roman" w:cs="Times New Roman"/>
                <w:sz w:val="21"/>
                <w:szCs w:val="21"/>
              </w:rPr>
            </w:pPr>
            <w:r>
              <w:rPr>
                <w:rFonts w:ascii="仿宋" w:hAnsi="仿宋" w:eastAsia="仿宋" w:cs="仿宋"/>
                <w:spacing w:val="-5"/>
                <w:sz w:val="21"/>
                <w:szCs w:val="21"/>
              </w:rPr>
              <w:t>复垦后</w:t>
            </w:r>
            <w:r>
              <w:rPr>
                <w:rFonts w:ascii="Times New Roman" w:hAnsi="Times New Roman" w:eastAsia="Times New Roman" w:cs="Times New Roman"/>
                <w:spacing w:val="-5"/>
                <w:sz w:val="21"/>
                <w:szCs w:val="21"/>
              </w:rPr>
              <w:t>/hm</w:t>
            </w:r>
            <w:r>
              <w:rPr>
                <w:rFonts w:ascii="Times New Roman" w:hAnsi="Times New Roman" w:eastAsia="Times New Roman" w:cs="Times New Roman"/>
                <w:spacing w:val="-5"/>
                <w:position w:val="8"/>
                <w:sz w:val="21"/>
                <w:szCs w:val="21"/>
              </w:rPr>
              <w:t>2</w:t>
            </w:r>
          </w:p>
        </w:tc>
        <w:tc>
          <w:tcPr>
            <w:tcW w:w="1335" w:type="dxa"/>
            <w:vAlign w:val="center"/>
          </w:tcPr>
          <w:p>
            <w:pPr>
              <w:spacing w:before="1" w:line="222" w:lineRule="auto"/>
              <w:ind w:left="235"/>
              <w:jc w:val="center"/>
              <w:rPr>
                <w:rFonts w:ascii="Times New Roman" w:hAnsi="Times New Roman" w:eastAsia="Times New Roman" w:cs="Times New Roman"/>
                <w:sz w:val="21"/>
                <w:szCs w:val="21"/>
              </w:rPr>
            </w:pPr>
            <w:r>
              <w:rPr>
                <w:rFonts w:ascii="仿宋" w:hAnsi="仿宋" w:eastAsia="仿宋" w:cs="仿宋"/>
                <w:spacing w:val="-7"/>
                <w:sz w:val="21"/>
                <w:szCs w:val="21"/>
              </w:rPr>
              <w:t>变幅</w:t>
            </w:r>
            <w:r>
              <w:rPr>
                <w:rFonts w:ascii="Times New Roman" w:hAnsi="Times New Roman" w:eastAsia="Times New Roman" w:cs="Times New Roman"/>
                <w:spacing w:val="-7"/>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jc w:val="center"/>
        </w:trPr>
        <w:tc>
          <w:tcPr>
            <w:tcW w:w="1665" w:type="dxa"/>
            <w:vAlign w:val="center"/>
          </w:tcPr>
          <w:p>
            <w:pPr>
              <w:keepNext w:val="0"/>
              <w:keepLines w:val="0"/>
              <w:widowControl/>
              <w:suppressLineNumbers w:val="0"/>
              <w:jc w:val="center"/>
              <w:textAlignment w:val="bottom"/>
              <w:rPr>
                <w:rFonts w:ascii="仿宋" w:hAnsi="仿宋" w:eastAsia="仿宋" w:cs="仿宋"/>
                <w:sz w:val="21"/>
                <w:szCs w:val="21"/>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994"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仿宋_GB2312" w:hAnsi="宋体" w:eastAsia="仿宋_GB2312" w:cs="仿宋_GB2312"/>
                <w:i w:val="0"/>
                <w:iCs w:val="0"/>
                <w:color w:val="000000"/>
                <w:sz w:val="19"/>
                <w:szCs w:val="19"/>
                <w:u w:val="none"/>
                <w:lang w:val="en-US" w:eastAsia="zh-CN"/>
              </w:rPr>
              <w:t>天然牧草地</w:t>
            </w:r>
          </w:p>
        </w:tc>
        <w:tc>
          <w:tcPr>
            <w:tcW w:w="1911"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Times New Roman" w:hAnsi="Times New Roman" w:eastAsia="仿宋_GB2312" w:cs="Times New Roman"/>
                <w:i w:val="0"/>
                <w:iCs w:val="0"/>
                <w:color w:val="000000"/>
                <w:sz w:val="19"/>
                <w:szCs w:val="19"/>
                <w:u w:val="none"/>
                <w:lang w:val="en-US" w:eastAsia="zh-CN"/>
              </w:rPr>
              <w:t>0.4556</w:t>
            </w:r>
          </w:p>
        </w:tc>
        <w:tc>
          <w:tcPr>
            <w:tcW w:w="1912"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仿宋_GB2312" w:hAnsi="宋体" w:eastAsia="仿宋_GB2312" w:cs="仿宋_GB2312"/>
                <w:i w:val="0"/>
                <w:iCs w:val="0"/>
                <w:color w:val="000000"/>
                <w:sz w:val="19"/>
                <w:szCs w:val="19"/>
                <w:u w:val="none"/>
                <w:lang w:val="en-US" w:eastAsia="zh-CN"/>
              </w:rPr>
              <w:t>天然牧草地</w:t>
            </w:r>
          </w:p>
        </w:tc>
        <w:tc>
          <w:tcPr>
            <w:tcW w:w="1335" w:type="dxa"/>
            <w:vAlign w:val="center"/>
          </w:tcPr>
          <w:p>
            <w:pPr>
              <w:spacing w:before="66" w:line="257" w:lineRule="exact"/>
              <w:ind w:left="552"/>
              <w:jc w:val="center"/>
              <w:rPr>
                <w:rFonts w:ascii="仿宋" w:hAnsi="仿宋" w:eastAsia="仿宋" w:cs="仿宋"/>
                <w:sz w:val="21"/>
                <w:szCs w:val="21"/>
              </w:rPr>
            </w:pPr>
            <w:r>
              <w:rPr>
                <w:rFonts w:ascii="仿宋" w:hAnsi="仿宋" w:eastAsia="仿宋" w:cs="仿宋"/>
                <w:position w:val="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665" w:type="dxa"/>
            <w:vAlign w:val="center"/>
          </w:tcPr>
          <w:p>
            <w:pPr>
              <w:keepNext w:val="0"/>
              <w:keepLines w:val="0"/>
              <w:widowControl/>
              <w:suppressLineNumbers w:val="0"/>
              <w:jc w:val="center"/>
              <w:textAlignment w:val="bottom"/>
              <w:rPr>
                <w:rFonts w:ascii="仿宋" w:hAnsi="仿宋" w:eastAsia="仿宋" w:cs="仿宋"/>
                <w:sz w:val="21"/>
                <w:szCs w:val="21"/>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994"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仿宋_GB2312" w:hAnsi="宋体" w:eastAsia="仿宋_GB2312" w:cs="仿宋_GB2312"/>
                <w:i w:val="0"/>
                <w:iCs w:val="0"/>
                <w:color w:val="000000"/>
                <w:sz w:val="19"/>
                <w:szCs w:val="19"/>
                <w:u w:val="none"/>
                <w:lang w:val="en-US" w:eastAsia="zh-CN"/>
              </w:rPr>
              <w:t>沼泽草地</w:t>
            </w:r>
          </w:p>
        </w:tc>
        <w:tc>
          <w:tcPr>
            <w:tcW w:w="1911"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Times New Roman" w:hAnsi="Times New Roman" w:eastAsia="仿宋_GB2312" w:cs="Times New Roman"/>
                <w:i w:val="0"/>
                <w:iCs w:val="0"/>
                <w:color w:val="000000"/>
                <w:sz w:val="19"/>
                <w:szCs w:val="19"/>
                <w:u w:val="none"/>
                <w:lang w:val="en-US" w:eastAsia="zh-CN"/>
              </w:rPr>
              <w:t>0.1894</w:t>
            </w:r>
          </w:p>
        </w:tc>
        <w:tc>
          <w:tcPr>
            <w:tcW w:w="1912" w:type="dxa"/>
            <w:vAlign w:val="center"/>
          </w:tcPr>
          <w:p>
            <w:pPr>
              <w:keepNext w:val="0"/>
              <w:keepLines w:val="0"/>
              <w:widowControl/>
              <w:suppressLineNumbers w:val="0"/>
              <w:jc w:val="center"/>
              <w:textAlignment w:val="center"/>
              <w:rPr>
                <w:rFonts w:ascii="仿宋" w:hAnsi="仿宋" w:eastAsia="仿宋" w:cs="仿宋"/>
                <w:sz w:val="21"/>
                <w:szCs w:val="21"/>
              </w:rPr>
            </w:pPr>
            <w:r>
              <w:rPr>
                <w:rFonts w:hint="eastAsia" w:ascii="仿宋_GB2312" w:hAnsi="宋体" w:eastAsia="仿宋_GB2312" w:cs="仿宋_GB2312"/>
                <w:i w:val="0"/>
                <w:iCs w:val="0"/>
                <w:color w:val="000000"/>
                <w:sz w:val="19"/>
                <w:szCs w:val="19"/>
                <w:u w:val="none"/>
                <w:lang w:val="en-US" w:eastAsia="zh-CN"/>
              </w:rPr>
              <w:t>沼泽草地</w:t>
            </w:r>
          </w:p>
        </w:tc>
        <w:tc>
          <w:tcPr>
            <w:tcW w:w="1335" w:type="dxa"/>
            <w:vAlign w:val="center"/>
          </w:tcPr>
          <w:p>
            <w:pPr>
              <w:spacing w:before="62" w:line="257" w:lineRule="exact"/>
              <w:ind w:left="552"/>
              <w:jc w:val="center"/>
              <w:rPr>
                <w:rFonts w:ascii="仿宋" w:hAnsi="仿宋" w:eastAsia="仿宋" w:cs="仿宋"/>
                <w:sz w:val="21"/>
                <w:szCs w:val="21"/>
              </w:rPr>
            </w:pPr>
            <w:r>
              <w:rPr>
                <w:rFonts w:ascii="仿宋" w:hAnsi="仿宋" w:eastAsia="仿宋" w:cs="仿宋"/>
                <w:position w:val="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1665" w:type="dxa"/>
            <w:vAlign w:val="center"/>
          </w:tcPr>
          <w:p>
            <w:pPr>
              <w:keepNext w:val="0"/>
              <w:keepLines w:val="0"/>
              <w:widowControl/>
              <w:suppressLineNumbers w:val="0"/>
              <w:jc w:val="center"/>
              <w:textAlignment w:val="bottom"/>
              <w:rPr>
                <w:rFonts w:ascii="仿宋" w:hAnsi="仿宋" w:eastAsia="仿宋" w:cs="仿宋"/>
                <w:spacing w:val="1"/>
                <w:sz w:val="21"/>
                <w:szCs w:val="21"/>
              </w:rPr>
            </w:pPr>
            <w:r>
              <w:rPr>
                <w:rFonts w:hint="eastAsia" w:ascii="仿宋_GB2312" w:eastAsia="仿宋_GB2312" w:cs="仿宋_GB2312"/>
                <w:i w:val="0"/>
                <w:iCs w:val="0"/>
                <w:snapToGrid w:val="0"/>
                <w:color w:val="000000"/>
                <w:kern w:val="0"/>
                <w:sz w:val="21"/>
                <w:szCs w:val="21"/>
                <w:u w:val="none"/>
                <w:lang w:val="en-US" w:eastAsia="zh-CN" w:bidi="ar"/>
              </w:rPr>
              <w:t>便道</w:t>
            </w:r>
          </w:p>
        </w:tc>
        <w:tc>
          <w:tcPr>
            <w:tcW w:w="1994" w:type="dxa"/>
            <w:vAlign w:val="center"/>
          </w:tcPr>
          <w:p>
            <w:pPr>
              <w:keepNext w:val="0"/>
              <w:keepLines w:val="0"/>
              <w:widowControl/>
              <w:suppressLineNumbers w:val="0"/>
              <w:jc w:val="center"/>
              <w:textAlignment w:val="center"/>
              <w:rPr>
                <w:rFonts w:ascii="仿宋" w:hAnsi="仿宋" w:eastAsia="仿宋" w:cs="仿宋"/>
                <w:spacing w:val="7"/>
                <w:sz w:val="21"/>
                <w:szCs w:val="21"/>
              </w:rPr>
            </w:pPr>
            <w:r>
              <w:rPr>
                <w:rFonts w:hint="eastAsia" w:ascii="仿宋_GB2312" w:hAnsi="宋体" w:eastAsia="仿宋_GB2312" w:cs="仿宋_GB2312"/>
                <w:i w:val="0"/>
                <w:iCs w:val="0"/>
                <w:color w:val="000000"/>
                <w:sz w:val="19"/>
                <w:szCs w:val="19"/>
                <w:u w:val="none"/>
                <w:lang w:val="en-US" w:eastAsia="zh-CN"/>
              </w:rPr>
              <w:t>河流水面</w:t>
            </w:r>
          </w:p>
        </w:tc>
        <w:tc>
          <w:tcPr>
            <w:tcW w:w="1911" w:type="dxa"/>
            <w:vAlign w:val="center"/>
          </w:tcPr>
          <w:p>
            <w:pPr>
              <w:keepNext w:val="0"/>
              <w:keepLines w:val="0"/>
              <w:widowControl/>
              <w:suppressLineNumbers w:val="0"/>
              <w:jc w:val="center"/>
              <w:textAlignment w:val="center"/>
              <w:rPr>
                <w:rFonts w:ascii="仿宋" w:hAnsi="仿宋" w:eastAsia="仿宋" w:cs="仿宋"/>
                <w:spacing w:val="1"/>
                <w:position w:val="1"/>
                <w:sz w:val="21"/>
                <w:szCs w:val="21"/>
              </w:rPr>
            </w:pPr>
            <w:r>
              <w:rPr>
                <w:rFonts w:hint="eastAsia" w:ascii="Times New Roman" w:hAnsi="Times New Roman" w:eastAsia="仿宋_GB2312" w:cs="Times New Roman"/>
                <w:i w:val="0"/>
                <w:iCs w:val="0"/>
                <w:color w:val="000000"/>
                <w:sz w:val="19"/>
                <w:szCs w:val="19"/>
                <w:u w:val="none"/>
                <w:lang w:val="en-US" w:eastAsia="zh-CN"/>
              </w:rPr>
              <w:t>0.3151</w:t>
            </w:r>
          </w:p>
        </w:tc>
        <w:tc>
          <w:tcPr>
            <w:tcW w:w="1912" w:type="dxa"/>
            <w:vAlign w:val="center"/>
          </w:tcPr>
          <w:p>
            <w:pPr>
              <w:keepNext w:val="0"/>
              <w:keepLines w:val="0"/>
              <w:widowControl/>
              <w:suppressLineNumbers w:val="0"/>
              <w:jc w:val="center"/>
              <w:textAlignment w:val="center"/>
              <w:rPr>
                <w:rFonts w:ascii="仿宋" w:hAnsi="仿宋" w:eastAsia="仿宋" w:cs="仿宋"/>
                <w:spacing w:val="1"/>
                <w:position w:val="1"/>
                <w:sz w:val="21"/>
                <w:szCs w:val="21"/>
              </w:rPr>
            </w:pPr>
            <w:r>
              <w:rPr>
                <w:rFonts w:hint="eastAsia" w:ascii="仿宋_GB2312" w:hAnsi="宋体" w:eastAsia="仿宋_GB2312" w:cs="仿宋_GB2312"/>
                <w:i w:val="0"/>
                <w:iCs w:val="0"/>
                <w:color w:val="000000"/>
                <w:sz w:val="19"/>
                <w:szCs w:val="19"/>
                <w:u w:val="none"/>
                <w:lang w:val="en-US" w:eastAsia="zh-CN"/>
              </w:rPr>
              <w:t>河流水面</w:t>
            </w:r>
          </w:p>
        </w:tc>
        <w:tc>
          <w:tcPr>
            <w:tcW w:w="1335" w:type="dxa"/>
            <w:vAlign w:val="center"/>
          </w:tcPr>
          <w:p>
            <w:pPr>
              <w:spacing w:before="62" w:line="257" w:lineRule="exact"/>
              <w:ind w:left="552"/>
              <w:jc w:val="center"/>
              <w:rPr>
                <w:rFonts w:hint="default"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3659" w:type="dxa"/>
            <w:gridSpan w:val="2"/>
            <w:vAlign w:val="center"/>
          </w:tcPr>
          <w:p>
            <w:pPr>
              <w:spacing w:before="72" w:line="231" w:lineRule="auto"/>
              <w:ind w:left="1583"/>
              <w:jc w:val="both"/>
              <w:rPr>
                <w:rFonts w:ascii="仿宋" w:hAnsi="仿宋" w:eastAsia="仿宋" w:cs="仿宋"/>
                <w:sz w:val="21"/>
                <w:szCs w:val="21"/>
              </w:rPr>
            </w:pPr>
            <w:r>
              <w:rPr>
                <w:rFonts w:ascii="仿宋" w:hAnsi="仿宋" w:eastAsia="仿宋" w:cs="仿宋"/>
                <w:spacing w:val="-1"/>
                <w:sz w:val="21"/>
                <w:szCs w:val="21"/>
              </w:rPr>
              <w:t>合计</w:t>
            </w:r>
          </w:p>
        </w:tc>
        <w:tc>
          <w:tcPr>
            <w:tcW w:w="1911" w:type="dxa"/>
            <w:vAlign w:val="center"/>
          </w:tcPr>
          <w:p>
            <w:pPr>
              <w:spacing w:before="34" w:line="256" w:lineRule="exact"/>
              <w:ind w:left="591"/>
              <w:jc w:val="both"/>
              <w:rPr>
                <w:rFonts w:hint="default" w:ascii="仿宋" w:hAnsi="仿宋" w:eastAsia="仿宋" w:cs="仿宋"/>
                <w:sz w:val="21"/>
                <w:szCs w:val="21"/>
                <w:lang w:val="en-US" w:eastAsia="zh-CN"/>
              </w:rPr>
            </w:pPr>
            <w:r>
              <w:rPr>
                <w:rFonts w:hint="eastAsia" w:ascii="仿宋" w:hAnsi="仿宋" w:eastAsia="仿宋" w:cs="仿宋"/>
                <w:spacing w:val="1"/>
                <w:position w:val="1"/>
                <w:sz w:val="21"/>
                <w:szCs w:val="21"/>
                <w:lang w:val="en-US" w:eastAsia="zh-CN"/>
              </w:rPr>
              <w:t>0.9601</w:t>
            </w:r>
          </w:p>
        </w:tc>
        <w:tc>
          <w:tcPr>
            <w:tcW w:w="1912" w:type="dxa"/>
            <w:vAlign w:val="center"/>
          </w:tcPr>
          <w:p>
            <w:pPr>
              <w:spacing w:before="34" w:line="256" w:lineRule="exact"/>
              <w:ind w:left="593"/>
              <w:jc w:val="both"/>
              <w:rPr>
                <w:rFonts w:hint="default" w:ascii="仿宋" w:hAnsi="仿宋" w:eastAsia="仿宋" w:cs="仿宋"/>
                <w:sz w:val="21"/>
                <w:szCs w:val="21"/>
                <w:lang w:val="en-US" w:eastAsia="zh-CN"/>
              </w:rPr>
            </w:pPr>
            <w:r>
              <w:rPr>
                <w:rFonts w:hint="eastAsia" w:ascii="仿宋" w:hAnsi="仿宋" w:eastAsia="仿宋" w:cs="仿宋"/>
                <w:spacing w:val="1"/>
                <w:position w:val="1"/>
                <w:sz w:val="21"/>
                <w:szCs w:val="21"/>
                <w:lang w:val="en-US" w:eastAsia="zh-CN"/>
              </w:rPr>
              <w:t>0.9601</w:t>
            </w:r>
          </w:p>
        </w:tc>
        <w:tc>
          <w:tcPr>
            <w:tcW w:w="1335" w:type="dxa"/>
            <w:vAlign w:val="center"/>
          </w:tcPr>
          <w:p>
            <w:pPr>
              <w:spacing w:before="72" w:line="257" w:lineRule="exact"/>
              <w:ind w:left="552"/>
              <w:jc w:val="center"/>
              <w:rPr>
                <w:rFonts w:ascii="仿宋" w:hAnsi="仿宋" w:eastAsia="仿宋" w:cs="仿宋"/>
                <w:sz w:val="21"/>
                <w:szCs w:val="21"/>
              </w:rPr>
            </w:pPr>
            <w:r>
              <w:rPr>
                <w:rFonts w:ascii="仿宋" w:hAnsi="仿宋" w:eastAsia="仿宋" w:cs="仿宋"/>
                <w:position w:val="1"/>
                <w:sz w:val="21"/>
                <w:szCs w:val="21"/>
              </w:rPr>
              <w:t>0%</w:t>
            </w:r>
          </w:p>
        </w:tc>
      </w:tr>
    </w:tbl>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1.2.5复垦的投资情况</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zh-CN"/>
        </w:rPr>
      </w:pPr>
      <w:r>
        <w:rPr>
          <w:rFonts w:hint="eastAsia" w:ascii="Times New Roman" w:hAnsi="Times New Roman" w:eastAsia="方正仿宋_GBK" w:cs="Times New Roman"/>
          <w:b w:val="0"/>
          <w:bCs w:val="0"/>
          <w:spacing w:val="0"/>
          <w:sz w:val="32"/>
          <w:szCs w:val="32"/>
          <w:lang w:val="en-US" w:eastAsia="en-US"/>
        </w:rPr>
        <w:t>复垦工程主要内容</w:t>
      </w:r>
      <w:r>
        <w:rPr>
          <w:rFonts w:hint="eastAsia" w:ascii="Times New Roman" w:hAnsi="Times New Roman" w:eastAsia="方正仿宋_GBK" w:cs="Times New Roman"/>
          <w:b w:val="0"/>
          <w:bCs w:val="0"/>
          <w:spacing w:val="0"/>
          <w:sz w:val="32"/>
          <w:szCs w:val="32"/>
          <w:lang w:val="en-US" w:eastAsia="zh-CN"/>
        </w:rPr>
        <w:t>包含</w:t>
      </w:r>
      <w:r>
        <w:rPr>
          <w:rFonts w:hint="eastAsia" w:ascii="Times New Roman" w:hAnsi="Times New Roman" w:eastAsia="方正仿宋_GBK" w:cs="Times New Roman"/>
          <w:b w:val="0"/>
          <w:bCs w:val="0"/>
          <w:spacing w:val="0"/>
          <w:sz w:val="32"/>
          <w:szCs w:val="32"/>
          <w:lang w:val="en-US" w:eastAsia="en-US"/>
        </w:rPr>
        <w:t>场地清理工程：拆除临时构筑物、硬化地面破除、建筑垃圾清运、地表杂草及废弃物清理</w:t>
      </w:r>
      <w:r>
        <w:rPr>
          <w:rFonts w:hint="eastAsia" w:ascii="Times New Roman" w:hAnsi="Times New Roman" w:eastAsia="方正仿宋_GBK" w:cs="Times New Roman"/>
          <w:b w:val="0"/>
          <w:bCs w:val="0"/>
          <w:spacing w:val="0"/>
          <w:sz w:val="32"/>
          <w:szCs w:val="32"/>
          <w:lang w:val="en-US" w:eastAsia="zh-CN"/>
        </w:rPr>
        <w:t>；</w:t>
      </w:r>
      <w:r>
        <w:rPr>
          <w:rFonts w:hint="eastAsia" w:ascii="Times New Roman" w:hAnsi="Times New Roman" w:eastAsia="方正仿宋_GBK" w:cs="Times New Roman"/>
          <w:b w:val="0"/>
          <w:bCs w:val="0"/>
          <w:spacing w:val="0"/>
          <w:sz w:val="32"/>
          <w:szCs w:val="32"/>
          <w:lang w:val="en-US" w:eastAsia="en-US"/>
        </w:rPr>
        <w:t>土地平整工程：坑洼回填、边坡修整、场地推平、地形恢复至原地貌状态</w:t>
      </w:r>
      <w:r>
        <w:rPr>
          <w:rFonts w:hint="eastAsia" w:ascii="Times New Roman" w:hAnsi="Times New Roman" w:eastAsia="方正仿宋_GBK" w:cs="Times New Roman"/>
          <w:b w:val="0"/>
          <w:bCs w:val="0"/>
          <w:spacing w:val="0"/>
          <w:sz w:val="32"/>
          <w:szCs w:val="32"/>
          <w:lang w:val="en-US" w:eastAsia="zh-CN"/>
        </w:rPr>
        <w:t>；</w:t>
      </w:r>
      <w:r>
        <w:rPr>
          <w:rFonts w:hint="eastAsia" w:ascii="Times New Roman" w:hAnsi="Times New Roman" w:eastAsia="方正仿宋_GBK" w:cs="Times New Roman"/>
          <w:b w:val="0"/>
          <w:bCs w:val="0"/>
          <w:spacing w:val="0"/>
          <w:sz w:val="32"/>
          <w:szCs w:val="32"/>
          <w:lang w:val="en-US" w:eastAsia="en-US"/>
        </w:rPr>
        <w:t>土壤改良工程：表层熟土回填、土层压实、有机肥培肥、地力恢复</w:t>
      </w:r>
      <w:r>
        <w:rPr>
          <w:rFonts w:hint="eastAsia" w:ascii="Times New Roman" w:hAnsi="Times New Roman" w:eastAsia="方正仿宋_GBK" w:cs="Times New Roman"/>
          <w:b w:val="0"/>
          <w:bCs w:val="0"/>
          <w:spacing w:val="0"/>
          <w:sz w:val="32"/>
          <w:szCs w:val="32"/>
          <w:lang w:val="en-US" w:eastAsia="zh-CN"/>
        </w:rPr>
        <w:t>；</w:t>
      </w:r>
      <w:r>
        <w:rPr>
          <w:rFonts w:hint="eastAsia" w:ascii="Times New Roman" w:hAnsi="Times New Roman" w:eastAsia="方正仿宋_GBK" w:cs="Times New Roman"/>
          <w:b w:val="0"/>
          <w:bCs w:val="0"/>
          <w:spacing w:val="0"/>
          <w:sz w:val="32"/>
          <w:szCs w:val="32"/>
          <w:lang w:val="en-US" w:eastAsia="en-US"/>
        </w:rPr>
        <w:t>植被恢复工程：天然乡土草种撒播、覆土镇压、原生植被重建</w:t>
      </w:r>
      <w:r>
        <w:rPr>
          <w:rFonts w:hint="eastAsia" w:ascii="Times New Roman" w:hAnsi="Times New Roman" w:eastAsia="方正仿宋_GBK" w:cs="Times New Roman"/>
          <w:b w:val="0"/>
          <w:bCs w:val="0"/>
          <w:spacing w:val="0"/>
          <w:sz w:val="32"/>
          <w:szCs w:val="32"/>
          <w:lang w:val="en-US" w:eastAsia="zh-CN"/>
        </w:rPr>
        <w:t>；</w:t>
      </w:r>
      <w:r>
        <w:rPr>
          <w:rFonts w:hint="eastAsia" w:ascii="Times New Roman" w:hAnsi="Times New Roman" w:eastAsia="方正仿宋_GBK" w:cs="Times New Roman"/>
          <w:b w:val="0"/>
          <w:bCs w:val="0"/>
          <w:spacing w:val="0"/>
          <w:sz w:val="32"/>
          <w:szCs w:val="32"/>
          <w:lang w:val="en-US" w:eastAsia="en-US"/>
        </w:rPr>
        <w:t>水系整治工程：河沟岸坡修整、简易清淤、水系连通及生态岸线恢复</w:t>
      </w:r>
      <w:r>
        <w:rPr>
          <w:rFonts w:hint="eastAsia" w:ascii="Times New Roman" w:hAnsi="Times New Roman" w:eastAsia="方正仿宋_GBK" w:cs="Times New Roman"/>
          <w:b w:val="0"/>
          <w:bCs w:val="0"/>
          <w:spacing w:val="0"/>
          <w:sz w:val="32"/>
          <w:szCs w:val="32"/>
          <w:lang w:val="en-US" w:eastAsia="zh-CN"/>
        </w:rPr>
        <w:t>；</w:t>
      </w:r>
      <w:r>
        <w:rPr>
          <w:rFonts w:hint="eastAsia" w:ascii="Times New Roman" w:hAnsi="Times New Roman" w:eastAsia="方正仿宋_GBK" w:cs="Times New Roman"/>
          <w:b w:val="0"/>
          <w:bCs w:val="0"/>
          <w:spacing w:val="0"/>
          <w:sz w:val="32"/>
          <w:szCs w:val="32"/>
          <w:lang w:val="en-US" w:eastAsia="en-US"/>
        </w:rPr>
        <w:t>后期管护工程：浇灌补水、补播补种、病虫害防治、防风固沙管护</w:t>
      </w:r>
      <w:r>
        <w:rPr>
          <w:rFonts w:hint="eastAsia" w:ascii="Times New Roman" w:hAnsi="Times New Roman" w:eastAsia="方正仿宋_GBK" w:cs="Times New Roman"/>
          <w:b w:val="0"/>
          <w:bCs w:val="0"/>
          <w:spacing w:val="0"/>
          <w:sz w:val="32"/>
          <w:szCs w:val="32"/>
          <w:lang w:val="en-US" w:eastAsia="zh-CN"/>
        </w:rPr>
        <w:t>。</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r>
        <w:rPr>
          <w:rFonts w:hint="eastAsia" w:ascii="Times New Roman" w:hAnsi="Times New Roman" w:eastAsia="方正仿宋_GBK" w:cs="Times New Roman"/>
          <w:b w:val="0"/>
          <w:bCs w:val="0"/>
          <w:spacing w:val="0"/>
          <w:sz w:val="32"/>
          <w:szCs w:val="32"/>
          <w:lang w:val="en-US" w:eastAsia="en-US"/>
        </w:rPr>
        <w:t>本项目复垦投资依据复垦工程内容及工程量进行估算，复垦静态</w:t>
      </w:r>
      <w:r>
        <w:rPr>
          <w:rFonts w:hint="eastAsia" w:ascii="Times New Roman" w:hAnsi="Times New Roman" w:eastAsia="方正仿宋_GBK" w:cs="Times New Roman"/>
          <w:b w:val="0"/>
          <w:bCs w:val="0"/>
          <w:spacing w:val="0"/>
          <w:sz w:val="32"/>
          <w:szCs w:val="32"/>
          <w:lang w:val="en-US" w:eastAsia="zh-CN"/>
        </w:rPr>
        <w:t>总投资</w:t>
      </w:r>
      <w:r>
        <w:rPr>
          <w:rFonts w:hint="eastAsia" w:ascii="Times New Roman" w:hAnsi="Times New Roman" w:eastAsia="方正仿宋_GBK" w:cs="Times New Roman"/>
          <w:b w:val="0"/>
          <w:bCs w:val="0"/>
          <w:spacing w:val="0"/>
          <w:sz w:val="32"/>
          <w:szCs w:val="32"/>
          <w:lang w:val="en-US" w:eastAsia="en-US"/>
        </w:rPr>
        <w:t>63499.8元（陆万叁仟肆佰玖拾玖元捌角）：</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b w:val="0"/>
          <w:bCs w:val="0"/>
          <w:spacing w:val="0"/>
          <w:sz w:val="32"/>
          <w:szCs w:val="32"/>
          <w:lang w:val="en-US" w:eastAsia="en-US"/>
        </w:rPr>
      </w:pPr>
      <w:r>
        <w:rPr>
          <w:rFonts w:hint="eastAsia" w:ascii="Times New Roman" w:hAnsi="Times New Roman" w:eastAsia="方正仿宋_GBK" w:cs="Times New Roman"/>
          <w:b w:val="0"/>
          <w:bCs w:val="0"/>
          <w:spacing w:val="0"/>
          <w:sz w:val="32"/>
          <w:szCs w:val="32"/>
          <w:lang w:val="en-US" w:eastAsia="en-US"/>
        </w:rPr>
        <w:t>①天然牧草地、沼泽草地：侧重土壤改良+原生牧草恢复+三年管护综合复垦单价5000元/亩，0.645×15×5000=48375元。</w:t>
      </w:r>
    </w:p>
    <w:p>
      <w:pPr>
        <w:keepNext w:val="0"/>
        <w:keepLines w:val="0"/>
        <w:pageBreakBefore w:val="0"/>
        <w:widowControl/>
        <w:suppressLineNumbers w:val="0"/>
        <w:overflowPunct/>
        <w:topLinePunct w:val="0"/>
        <w:bidi w:val="0"/>
        <w:spacing w:line="560" w:lineRule="exact"/>
        <w:ind w:firstLine="640" w:firstLineChars="200"/>
        <w:jc w:val="left"/>
        <w:rPr>
          <w:rFonts w:hint="eastAsia" w:ascii="Times New Roman" w:hAnsi="Times New Roman" w:eastAsia="方正仿宋_GBK" w:cs="Times New Roman"/>
          <w:snapToGrid/>
          <w:color w:val="auto"/>
          <w:kern w:val="0"/>
          <w:sz w:val="32"/>
          <w:szCs w:val="32"/>
          <w:lang w:val="en-US" w:eastAsia="zh-CN" w:bidi="ar-SA"/>
        </w:rPr>
      </w:pPr>
      <w:r>
        <w:rPr>
          <w:rFonts w:hint="eastAsia" w:ascii="Times New Roman" w:hAnsi="Times New Roman" w:eastAsia="方正仿宋_GBK" w:cs="Times New Roman"/>
          <w:b w:val="0"/>
          <w:bCs w:val="0"/>
          <w:spacing w:val="0"/>
          <w:sz w:val="32"/>
          <w:szCs w:val="32"/>
          <w:lang w:val="en-US" w:eastAsia="en-US"/>
        </w:rPr>
        <w:t>②河流水面复垦费：岸坡整治、简易清淤、生态修护综合复垦单价3200元/亩复垦费，0.3151×15×3200=15124.8元。</w:t>
      </w:r>
    </w:p>
    <w:p>
      <w:pPr>
        <w:pStyle w:val="19"/>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三、征询公众意见内容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1.土地损毁面积是否符合实际</w:t>
      </w:r>
      <w:r>
        <w:rPr>
          <w:rFonts w:hint="eastAsia" w:ascii="Times New Roman" w:hAnsi="Times New Roman" w:eastAsia="方正仿宋_GBK" w:cs="Times New Roman"/>
          <w:spacing w:val="0"/>
          <w:sz w:val="32"/>
          <w:szCs w:val="32"/>
          <w:lang w:val="en-US" w:eastAsia="zh-CN"/>
        </w:rPr>
        <w:t>批复面积</w:t>
      </w:r>
      <w:r>
        <w:rPr>
          <w:rFonts w:hint="default" w:ascii="Times New Roman" w:hAnsi="Times New Roman" w:eastAsia="方正仿宋_GBK" w:cs="Times New Roman"/>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2.</w:t>
      </w:r>
      <w:r>
        <w:rPr>
          <w:rFonts w:hint="eastAsia" w:ascii="Times New Roman" w:hAnsi="Times New Roman" w:eastAsia="方正仿宋_GBK" w:cs="Times New Roman"/>
          <w:spacing w:val="0"/>
          <w:sz w:val="32"/>
          <w:szCs w:val="32"/>
          <w:lang w:val="en-US" w:eastAsia="zh-CN"/>
        </w:rPr>
        <w:t>临时用地办理期间是否对牧民草场进行合理补偿</w:t>
      </w:r>
      <w:r>
        <w:rPr>
          <w:rFonts w:hint="default" w:ascii="Times New Roman" w:hAnsi="Times New Roman" w:eastAsia="方正仿宋_GBK" w:cs="Times New Roman"/>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3.</w:t>
      </w:r>
      <w:r>
        <w:rPr>
          <w:rFonts w:hint="default" w:ascii="Times New Roman" w:hAnsi="Times New Roman" w:eastAsia="方正仿宋_GBK" w:cs="Times New Roman"/>
          <w:color w:val="000000"/>
          <w:spacing w:val="0"/>
          <w:sz w:val="32"/>
          <w:szCs w:val="32"/>
          <w:lang w:val="en-US" w:eastAsia="zh-CN"/>
        </w:rPr>
        <w:t>生产年限到期没有进行复垦的向自然资源局举报。</w:t>
      </w:r>
    </w:p>
    <w:p>
      <w:pPr>
        <w:pStyle w:val="19"/>
        <w:keepNext w:val="0"/>
        <w:keepLines w:val="0"/>
        <w:pageBreakBefore w:val="0"/>
        <w:widowControl w:val="0"/>
        <w:kinsoku/>
        <w:wordWrap/>
        <w:overflowPunct/>
        <w:topLinePunct w:val="0"/>
        <w:autoSpaceDE/>
        <w:autoSpaceDN/>
        <w:bidi w:val="0"/>
        <w:adjustRightInd/>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四、公示说明</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color w:val="000000"/>
          <w:spacing w:val="0"/>
          <w:sz w:val="32"/>
          <w:szCs w:val="32"/>
          <w:highlight w:val="none"/>
        </w:rPr>
      </w:pPr>
      <w:r>
        <w:rPr>
          <w:rFonts w:hint="eastAsia" w:ascii="Times New Roman" w:hAnsi="Times New Roman" w:eastAsia="方正仿宋_GBK" w:cs="Times New Roman"/>
          <w:color w:val="000000"/>
          <w:spacing w:val="0"/>
          <w:sz w:val="32"/>
          <w:szCs w:val="32"/>
          <w:lang w:eastAsia="zh-CN"/>
        </w:rPr>
        <w:t>1.</w:t>
      </w:r>
      <w:r>
        <w:rPr>
          <w:rFonts w:hint="default" w:ascii="Times New Roman" w:hAnsi="Times New Roman" w:eastAsia="方正仿宋_GBK" w:cs="Times New Roman"/>
          <w:color w:val="000000"/>
          <w:spacing w:val="0"/>
          <w:sz w:val="32"/>
          <w:szCs w:val="32"/>
          <w:highlight w:val="none"/>
        </w:rPr>
        <w:t>公示时间为202</w:t>
      </w:r>
      <w:r>
        <w:rPr>
          <w:rFonts w:hint="eastAsia" w:ascii="Times New Roman" w:hAnsi="Times New Roman" w:eastAsia="方正仿宋_GBK" w:cs="Times New Roman"/>
          <w:color w:val="000000"/>
          <w:spacing w:val="0"/>
          <w:sz w:val="32"/>
          <w:szCs w:val="32"/>
          <w:highlight w:val="none"/>
          <w:lang w:val="en-US" w:eastAsia="zh-CN"/>
        </w:rPr>
        <w:t>6</w:t>
      </w:r>
      <w:r>
        <w:rPr>
          <w:rFonts w:hint="default" w:ascii="Times New Roman" w:hAnsi="Times New Roman" w:eastAsia="方正仿宋_GBK" w:cs="Times New Roman"/>
          <w:color w:val="000000"/>
          <w:spacing w:val="0"/>
          <w:sz w:val="32"/>
          <w:szCs w:val="32"/>
          <w:highlight w:val="none"/>
        </w:rPr>
        <w:t>年</w:t>
      </w:r>
      <w:r>
        <w:rPr>
          <w:rFonts w:hint="eastAsia" w:ascii="Times New Roman" w:hAnsi="Times New Roman" w:eastAsia="方正仿宋_GBK" w:cs="Times New Roman"/>
          <w:color w:val="000000"/>
          <w:spacing w:val="0"/>
          <w:sz w:val="32"/>
          <w:szCs w:val="32"/>
          <w:highlight w:val="none"/>
          <w:lang w:val="en-US" w:eastAsia="zh-CN"/>
        </w:rPr>
        <w:t>7</w:t>
      </w:r>
      <w:r>
        <w:rPr>
          <w:rFonts w:hint="default" w:ascii="Times New Roman" w:hAnsi="Times New Roman" w:eastAsia="方正仿宋_GBK" w:cs="Times New Roman"/>
          <w:color w:val="000000"/>
          <w:spacing w:val="0"/>
          <w:sz w:val="32"/>
          <w:szCs w:val="32"/>
          <w:highlight w:val="none"/>
        </w:rPr>
        <w:t>月</w:t>
      </w:r>
      <w:r>
        <w:rPr>
          <w:rFonts w:hint="eastAsia" w:ascii="Times New Roman" w:hAnsi="Times New Roman" w:eastAsia="方正仿宋_GBK" w:cs="Times New Roman"/>
          <w:color w:val="000000"/>
          <w:spacing w:val="0"/>
          <w:sz w:val="32"/>
          <w:szCs w:val="32"/>
          <w:highlight w:val="none"/>
          <w:lang w:val="en-US" w:eastAsia="zh-CN"/>
        </w:rPr>
        <w:t>27</w:t>
      </w:r>
      <w:r>
        <w:rPr>
          <w:rFonts w:hint="default" w:ascii="Times New Roman" w:hAnsi="Times New Roman" w:eastAsia="方正仿宋_GBK" w:cs="Times New Roman"/>
          <w:color w:val="000000"/>
          <w:spacing w:val="0"/>
          <w:sz w:val="32"/>
          <w:szCs w:val="32"/>
          <w:highlight w:val="none"/>
        </w:rPr>
        <w:t>日—</w:t>
      </w:r>
      <w:r>
        <w:rPr>
          <w:rFonts w:hint="default" w:ascii="Times New Roman" w:hAnsi="Times New Roman" w:eastAsia="方正仿宋_GBK" w:cs="Times New Roman"/>
          <w:color w:val="000000"/>
          <w:spacing w:val="0"/>
          <w:sz w:val="32"/>
          <w:szCs w:val="32"/>
          <w:highlight w:val="none"/>
          <w:lang w:val="en-US" w:eastAsia="zh-CN"/>
        </w:rPr>
        <w:t>202</w:t>
      </w:r>
      <w:r>
        <w:rPr>
          <w:rFonts w:hint="eastAsia" w:ascii="Times New Roman" w:hAnsi="Times New Roman" w:eastAsia="方正仿宋_GBK" w:cs="Times New Roman"/>
          <w:color w:val="000000"/>
          <w:spacing w:val="0"/>
          <w:sz w:val="32"/>
          <w:szCs w:val="32"/>
          <w:highlight w:val="none"/>
          <w:lang w:val="en-US" w:eastAsia="zh-CN"/>
        </w:rPr>
        <w:t>6</w:t>
      </w:r>
      <w:r>
        <w:rPr>
          <w:rFonts w:hint="default" w:ascii="Times New Roman" w:hAnsi="Times New Roman" w:eastAsia="方正仿宋_GBK" w:cs="Times New Roman"/>
          <w:color w:val="000000"/>
          <w:spacing w:val="0"/>
          <w:sz w:val="32"/>
          <w:szCs w:val="32"/>
          <w:highlight w:val="none"/>
          <w:lang w:val="en-US" w:eastAsia="zh-CN"/>
        </w:rPr>
        <w:t>年</w:t>
      </w:r>
      <w:r>
        <w:rPr>
          <w:rFonts w:hint="eastAsia" w:ascii="Times New Roman" w:hAnsi="Times New Roman" w:eastAsia="方正仿宋_GBK" w:cs="Times New Roman"/>
          <w:color w:val="000000"/>
          <w:spacing w:val="0"/>
          <w:sz w:val="32"/>
          <w:szCs w:val="32"/>
          <w:highlight w:val="none"/>
          <w:lang w:val="en-US" w:eastAsia="zh-CN"/>
        </w:rPr>
        <w:t>8</w:t>
      </w:r>
      <w:r>
        <w:rPr>
          <w:rFonts w:hint="default" w:ascii="Times New Roman" w:hAnsi="Times New Roman" w:eastAsia="方正仿宋_GBK" w:cs="Times New Roman"/>
          <w:color w:val="000000"/>
          <w:spacing w:val="0"/>
          <w:sz w:val="32"/>
          <w:szCs w:val="32"/>
          <w:highlight w:val="none"/>
        </w:rPr>
        <w:t>月</w:t>
      </w:r>
      <w:r>
        <w:rPr>
          <w:rFonts w:hint="eastAsia" w:ascii="Times New Roman" w:hAnsi="Times New Roman" w:eastAsia="方正仿宋_GBK" w:cs="Times New Roman"/>
          <w:color w:val="000000"/>
          <w:spacing w:val="0"/>
          <w:sz w:val="32"/>
          <w:szCs w:val="32"/>
          <w:highlight w:val="none"/>
          <w:lang w:val="en-US" w:eastAsia="zh-CN"/>
        </w:rPr>
        <w:t>4</w:t>
      </w:r>
      <w:r>
        <w:rPr>
          <w:rFonts w:hint="default" w:ascii="Times New Roman" w:hAnsi="Times New Roman" w:eastAsia="方正仿宋_GBK" w:cs="Times New Roman"/>
          <w:color w:val="000000"/>
          <w:spacing w:val="0"/>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eastAsia="zh-CN"/>
        </w:rPr>
      </w:pPr>
      <w:r>
        <w:rPr>
          <w:rFonts w:hint="eastAsia" w:ascii="Times New Roman" w:hAnsi="Times New Roman" w:eastAsia="方正仿宋_GBK" w:cs="Times New Roman"/>
          <w:color w:val="000000"/>
          <w:spacing w:val="0"/>
          <w:sz w:val="32"/>
          <w:szCs w:val="32"/>
          <w:lang w:eastAsia="zh-CN"/>
        </w:rPr>
        <w:t>2.</w:t>
      </w:r>
      <w:r>
        <w:rPr>
          <w:rFonts w:hint="default" w:ascii="Times New Roman" w:hAnsi="Times New Roman" w:eastAsia="方正仿宋_GBK" w:cs="Times New Roman"/>
          <w:color w:val="000000"/>
          <w:spacing w:val="0"/>
          <w:sz w:val="32"/>
          <w:szCs w:val="32"/>
        </w:rPr>
        <w:t>本次公众意见可通过信函、传真等书面形式与</w:t>
      </w:r>
      <w:r>
        <w:rPr>
          <w:rFonts w:hint="default" w:ascii="Times New Roman" w:hAnsi="Times New Roman" w:eastAsia="方正仿宋_GBK" w:cs="Times New Roman"/>
          <w:color w:val="000000"/>
          <w:spacing w:val="0"/>
          <w:sz w:val="32"/>
          <w:szCs w:val="32"/>
          <w:lang w:val="en-US" w:eastAsia="zh-CN"/>
        </w:rPr>
        <w:t>自然资源局联系</w:t>
      </w:r>
      <w:r>
        <w:rPr>
          <w:rFonts w:hint="default" w:ascii="Times New Roman" w:hAnsi="Times New Roman" w:eastAsia="方正仿宋_GBK" w:cs="Times New Roman"/>
          <w:color w:val="000000"/>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eastAsia="zh-CN"/>
        </w:rPr>
        <w:t>地址：</w:t>
      </w:r>
      <w:r>
        <w:rPr>
          <w:rFonts w:hint="default" w:ascii="Times New Roman" w:hAnsi="Times New Roman" w:eastAsia="方正仿宋_GBK" w:cs="Times New Roman"/>
          <w:spacing w:val="0"/>
          <w:sz w:val="32"/>
          <w:szCs w:val="32"/>
          <w:lang w:val="en-US" w:eastAsia="zh-CN"/>
        </w:rPr>
        <w:t>和静县建设路988号自然资源局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eastAsia="zh-CN"/>
        </w:rPr>
        <w:t>联系人：</w:t>
      </w:r>
      <w:r>
        <w:rPr>
          <w:rFonts w:hint="default" w:ascii="Times New Roman" w:hAnsi="Times New Roman" w:eastAsia="方正仿宋_GBK" w:cs="Times New Roman"/>
          <w:spacing w:val="0"/>
          <w:sz w:val="32"/>
          <w:szCs w:val="32"/>
          <w:lang w:val="en-US" w:eastAsia="zh-CN"/>
        </w:rPr>
        <w:t>王百虎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spacing w:val="0"/>
          <w:sz w:val="32"/>
          <w:szCs w:val="32"/>
          <w:lang w:eastAsia="zh-CN"/>
        </w:rPr>
        <w:t>固定电话：</w:t>
      </w:r>
      <w:r>
        <w:rPr>
          <w:rFonts w:hint="default" w:ascii="Times New Roman" w:hAnsi="Times New Roman" w:eastAsia="方正仿宋_GBK" w:cs="Times New Roman"/>
          <w:spacing w:val="0"/>
          <w:sz w:val="32"/>
          <w:szCs w:val="32"/>
          <w:lang w:val="en-US" w:eastAsia="zh-CN"/>
        </w:rPr>
        <w:t>0996-5025378、5025815</w:t>
      </w:r>
    </w:p>
    <w:p>
      <w:pPr>
        <w:keepNext w:val="0"/>
        <w:keepLines w:val="0"/>
        <w:pageBreakBefore w:val="0"/>
        <w:widowControl w:val="0"/>
        <w:kinsoku/>
        <w:wordWrap/>
        <w:overflowPunct/>
        <w:topLinePunct w:val="0"/>
        <w:autoSpaceDE/>
        <w:autoSpaceDN/>
        <w:bidi w:val="0"/>
        <w:spacing w:line="560" w:lineRule="exact"/>
        <w:ind w:firstLine="0" w:firstLineChars="0"/>
        <w:jc w:val="left"/>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080" w:firstLineChars="1900"/>
        <w:jc w:val="left"/>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和静县自然资源局</w:t>
      </w:r>
    </w:p>
    <w:p>
      <w:pPr>
        <w:keepNext w:val="0"/>
        <w:keepLines w:val="0"/>
        <w:pageBreakBefore w:val="0"/>
        <w:widowControl w:val="0"/>
        <w:kinsoku/>
        <w:wordWrap/>
        <w:overflowPunct/>
        <w:topLinePunct w:val="0"/>
        <w:autoSpaceDE/>
        <w:autoSpaceDN/>
        <w:bidi w:val="0"/>
        <w:spacing w:line="560" w:lineRule="exact"/>
        <w:ind w:firstLine="6080" w:firstLineChars="1900"/>
        <w:jc w:val="left"/>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202</w:t>
      </w:r>
      <w:r>
        <w:rPr>
          <w:rFonts w:hint="eastAsia"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lang w:val="en-US" w:eastAsia="zh-CN"/>
        </w:rPr>
        <w:t>年</w:t>
      </w:r>
      <w:r>
        <w:rPr>
          <w:rFonts w:hint="eastAsia"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lang w:val="en-US" w:eastAsia="zh-CN"/>
        </w:rPr>
        <w:t>月</w:t>
      </w:r>
      <w:r>
        <w:rPr>
          <w:rFonts w:hint="eastAsia" w:ascii="Times New Roman" w:hAnsi="Times New Roman" w:eastAsia="方正仿宋_GBK" w:cs="Times New Roman"/>
          <w:color w:val="000000"/>
          <w:sz w:val="32"/>
          <w:szCs w:val="32"/>
          <w:highlight w:val="none"/>
          <w:lang w:val="en-US" w:eastAsia="zh-CN"/>
        </w:rPr>
        <w:t>27</w:t>
      </w:r>
      <w:r>
        <w:rPr>
          <w:rFonts w:hint="default" w:ascii="Times New Roman" w:hAnsi="Times New Roman" w:eastAsia="方正仿宋_GBK" w:cs="Times New Roman"/>
          <w:color w:val="000000"/>
          <w:sz w:val="32"/>
          <w:szCs w:val="32"/>
          <w:highlight w:val="none"/>
          <w:lang w:val="en-US" w:eastAsia="zh-CN"/>
        </w:rPr>
        <w:t>日</w:t>
      </w:r>
    </w:p>
    <w:p>
      <w:pPr>
        <w:keepNext w:val="0"/>
        <w:keepLines w:val="0"/>
        <w:pageBreakBefore w:val="0"/>
        <w:widowControl w:val="0"/>
        <w:kinsoku/>
        <w:wordWrap/>
        <w:overflowPunct/>
        <w:topLinePunct w:val="0"/>
        <w:autoSpaceDE/>
        <w:autoSpaceDN/>
        <w:bidi w:val="0"/>
        <w:spacing w:line="560" w:lineRule="exact"/>
        <w:ind w:firstLine="6080" w:firstLineChars="1900"/>
        <w:jc w:val="left"/>
        <w:rPr>
          <w:rFonts w:hint="default" w:ascii="Times New Roman" w:hAnsi="Times New Roman" w:eastAsia="方正仿宋_GBK"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jc w:val="left"/>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600" w:lineRule="exact"/>
        <w:jc w:val="left"/>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ind w:left="0" w:leftChars="0" w:firstLine="0" w:firstLineChars="0"/>
        <w:rPr>
          <w:rFonts w:hint="default" w:ascii="Times New Roman" w:hAnsi="Times New Roman" w:eastAsia="方正仿宋_GBK" w:cs="Times New Roman"/>
          <w:sz w:val="32"/>
          <w:szCs w:val="32"/>
          <w:lang w:val="en-US" w:eastAsia="zh-CN"/>
        </w:rPr>
      </w:pPr>
    </w:p>
    <w:p>
      <w:pPr>
        <w:pStyle w:val="15"/>
        <w:ind w:left="0" w:leftChars="0" w:firstLine="0" w:firstLineChars="0"/>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pStyle w:val="15"/>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left"/>
        <w:rPr>
          <w:rFonts w:hint="default" w:ascii="Times New Roman" w:hAnsi="Times New Roman" w:eastAsia="方正仿宋_GBK" w:cs="Times New Roman"/>
          <w:sz w:val="32"/>
          <w:szCs w:val="32"/>
          <w:lang w:val="en-US" w:eastAsia="zh-CN"/>
        </w:rPr>
      </w:pPr>
    </w:p>
    <w:p>
      <w:pPr>
        <w:pStyle w:val="15"/>
        <w:rPr>
          <w:rFonts w:hint="default"/>
          <w:lang w:val="en-US" w:eastAsia="zh-CN"/>
        </w:rPr>
      </w:pPr>
    </w:p>
    <w:p>
      <w:pPr>
        <w:spacing w:line="480" w:lineRule="exact"/>
        <w:ind w:right="-454" w:rightChars="-216" w:firstLine="210" w:firstLineChars="100"/>
        <w:rPr>
          <w:rFonts w:hint="eastAsia" w:eastAsiaTheme="minorEastAsia"/>
          <w:color w:val="000000" w:themeColor="text1"/>
          <w:lang w:eastAsia="zh-CN"/>
          <w14:textFill>
            <w14:solidFill>
              <w14:schemeClr w14:val="tx1"/>
            </w14:solidFill>
          </w14:textFill>
        </w:rPr>
        <w:sectPr>
          <w:headerReference r:id="rId3" w:type="default"/>
          <w:footerReference r:id="rId4" w:type="default"/>
          <w:pgSz w:w="11906" w:h="16838"/>
          <w:pgMar w:top="1871" w:right="1531" w:bottom="1984" w:left="1531" w:header="851" w:footer="992" w:gutter="0"/>
          <w:pgBorders>
            <w:top w:val="none" w:sz="0" w:space="0"/>
            <w:left w:val="none" w:sz="0" w:space="0"/>
            <w:bottom w:val="none" w:sz="0" w:space="0"/>
            <w:right w:val="none" w:sz="0" w:space="0"/>
          </w:pgBorders>
          <w:pgNumType w:fmt="decimal"/>
          <w:cols w:space="0" w:num="1"/>
          <w:rtlGutter w:val="0"/>
          <w:docGrid w:linePitch="590" w:charSpace="0"/>
        </w:sectPr>
      </w:pPr>
      <w:r>
        <w:rPr>
          <w:rFonts w:hint="default" w:ascii="Times New Roman" w:hAnsi="Times New Roman" w:eastAsia="方正仿宋_GBK"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17145</wp:posOffset>
                </wp:positionV>
                <wp:extent cx="5615940" cy="0"/>
                <wp:effectExtent l="0" t="4445" r="0" b="5080"/>
                <wp:wrapNone/>
                <wp:docPr id="2" name="直线 4"/>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pt;margin-top:1.35pt;height:0pt;width:442.2pt;z-index:251660288;mso-width-relative:page;mso-height-relative:page;" filled="f" stroked="t" coordsize="21600,21600" o:gfxdata="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95vW9UAAAAHAQAADwAAAAAAAAABACAAAAAiAAAAZHJzL2Rvd25yZXYu&#10;eG1sUEsBAhQAFAAAAAgAh07iQMl7jCvFAQAAgQMAAA4AAAAAAAAAAQAgAAAAJAEAAGRycy9lMm9E&#10;b2MueG1sUEsFBgAAAAAGAAYAWQEAAFsFA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301625</wp:posOffset>
                </wp:positionV>
                <wp:extent cx="5615940" cy="0"/>
                <wp:effectExtent l="0" t="4445" r="0" b="5080"/>
                <wp:wrapNone/>
                <wp:docPr id="1" name="Line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3" o:spid="_x0000_s1026" o:spt="20" style="position:absolute;left:0pt;margin-left:-9pt;margin-top:23.75pt;height:0pt;width:442.2pt;z-index:251659264;mso-width-relative:page;mso-height-relative:page;" filled="f" stroked="t" coordsize="21600,21600" o:gfxdata="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fHpwg2AAAAAkBAAAPAAAAAAAAAAEAIAAAACIAAABkcnMvZG93bnJldi54bWxQSwECFAAU&#10;AAAACACHTuJAV+Kjg7gBAAB/AwAADgAAAAAAAAABACAAAAAnAQAAZHJzL2Uyb0RvYy54bWxQSwUG&#10;AAAAAAYABgBZAQAAUQ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w:t>和静县自然资源局办公室                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27</w:t>
      </w:r>
      <w:r>
        <w:rPr>
          <w:rFonts w:hint="default" w:ascii="Times New Roman" w:hAnsi="Times New Roman" w:eastAsia="方正仿宋_GBK" w:cs="Times New Roman"/>
          <w:sz w:val="28"/>
          <w:szCs w:val="28"/>
        </w:rPr>
        <w:t xml:space="preserve">日印发 </w:t>
      </w:r>
    </w:p>
    <w:bookmarkEnd w:id="18"/>
    <w:bookmarkEnd w:id="19"/>
    <w:p>
      <w:pPr>
        <w:pStyle w:val="8"/>
        <w:ind w:left="0" w:leftChars="0" w:firstLine="0" w:firstLineChars="0"/>
        <w:rPr>
          <w:rFonts w:hint="eastAsia"/>
          <w:lang w:val="en-US" w:eastAsia="zh-CN"/>
        </w:rPr>
      </w:pPr>
    </w:p>
    <w:sectPr>
      <w:headerReference r:id="rId5" w:type="default"/>
      <w:footerReference r:id="rId6" w:type="default"/>
      <w:pgSz w:w="11906" w:h="16838"/>
      <w:pgMar w:top="1871" w:right="1531" w:bottom="1984" w:left="1531" w:header="851" w:footer="992" w:gutter="0"/>
      <w:pgBorders>
        <w:top w:val="none" w:sz="0" w:space="0"/>
        <w:left w:val="none" w:sz="0" w:space="0"/>
        <w:bottom w:val="none" w:sz="0" w:space="0"/>
        <w:right w:val="none" w:sz="0" w:space="0"/>
      </w:pgBorders>
      <w:pgNumType w:fmt="decimal"/>
      <w:cols w:space="0" w:num="1"/>
      <w:rtlGutter w:val="0"/>
      <w:docGrid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79FF7E-A6F3-4150-BC18-51CA3C2DC1D0}"/>
  </w:font>
  <w:font w:name="黑体">
    <w:panose1 w:val="02010609060101010101"/>
    <w:charset w:val="86"/>
    <w:family w:val="auto"/>
    <w:pitch w:val="default"/>
    <w:sig w:usb0="800002BF" w:usb1="38CF7CFA" w:usb2="00000016" w:usb3="00000000" w:csb0="00040001" w:csb1="00000000"/>
    <w:embedRegular r:id="rId2" w:fontKey="{20409E53-CD11-4063-B918-E0E6EA3D00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0" w:usb1="00000000" w:usb2="00000000" w:usb3="00000000" w:csb0="00000000" w:csb1="00000000"/>
    <w:embedRegular r:id="rId3" w:fontKey="{C619E31B-6CB4-47AC-B190-E5D10E5215B2}"/>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0" w:usb1="00000000" w:usb2="00000000" w:usb3="00000000" w:csb0="00000000" w:csb1="00000000"/>
    <w:embedRegular r:id="rId4" w:fontKey="{48EEF2D3-0778-42DB-8103-CE74725BBD31}"/>
  </w:font>
  <w:font w:name="方正仿宋_GBK">
    <w:panose1 w:val="03000509000000000000"/>
    <w:charset w:val="86"/>
    <w:family w:val="auto"/>
    <w:pitch w:val="default"/>
    <w:sig w:usb0="00000000" w:usb1="00000000" w:usb2="00000000" w:usb3="00000000" w:csb0="00000000" w:csb1="00000000"/>
    <w:embedRegular r:id="rId5" w:fontKey="{49E000F1-9475-4D82-9390-97BA5F4667B8}"/>
  </w:font>
  <w:font w:name="方正黑体_GBK">
    <w:panose1 w:val="03000509000000000000"/>
    <w:charset w:val="86"/>
    <w:family w:val="auto"/>
    <w:pitch w:val="default"/>
    <w:sig w:usb0="00000000" w:usb1="00000000" w:usb2="00000000" w:usb3="00000000" w:csb0="00000000" w:csb1="00000000"/>
    <w:embedRegular r:id="rId6" w:fontKey="{CAD2F491-C66F-40BD-B9E5-F89B4AFAE768}"/>
  </w:font>
  <w:font w:name="方正楷体_GBK">
    <w:panose1 w:val="03000509000000000000"/>
    <w:charset w:val="86"/>
    <w:family w:val="auto"/>
    <w:pitch w:val="default"/>
    <w:sig w:usb0="00000000" w:usb1="00000000" w:usb2="00000000" w:usb3="00000000" w:csb0="00000000" w:csb1="00000000"/>
    <w:embedRegular r:id="rId7" w:fontKey="{2251B71A-A482-48B2-99C8-190942ADAF5C}"/>
  </w:font>
  <w:font w:name="仿宋">
    <w:panose1 w:val="02010609060101010101"/>
    <w:charset w:val="86"/>
    <w:family w:val="auto"/>
    <w:pitch w:val="default"/>
    <w:sig w:usb0="800002BF" w:usb1="38CF7CFA" w:usb2="00000016" w:usb3="00000000" w:csb0="00040001" w:csb1="00000000"/>
    <w:embedRegular r:id="rId8" w:fontKey="{FA4DFFC0-E2A4-4023-B6F1-273444BF09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insoku/>
      <w:autoSpaceDE/>
      <w:autoSpaceDN/>
      <w:adjustRightInd/>
      <w:spacing w:line="240" w:lineRule="auto"/>
      <w:jc w:val="center"/>
      <w:textAlignment w:val="auto"/>
      <w:rPr>
        <w:rFonts w:ascii="Times New Roman" w:hAnsi="Times New Roman" w:eastAsia="宋体" w:cs="Times New Roman"/>
        <w:snapToGrid/>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insoku/>
      <w:autoSpaceDE/>
      <w:autoSpaceDN/>
      <w:adjustRightInd/>
      <w:spacing w:line="240" w:lineRule="auto"/>
      <w:jc w:val="center"/>
      <w:textAlignment w:val="auto"/>
      <w:rPr>
        <w:rFonts w:ascii="Times New Roman" w:hAnsi="Times New Roman" w:eastAsia="宋体" w:cs="Times New Roman"/>
        <w:snapToGrid/>
        <w:sz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kinsoku/>
      <w:autoSpaceDE/>
      <w:autoSpaceDN/>
      <w:adjustRightInd/>
      <w:spacing w:line="240" w:lineRule="auto"/>
      <w:textAlignment w:val="auto"/>
      <w:rPr>
        <w:rFonts w:ascii="Times New Roman" w:hAnsi="Times New Roman" w:eastAsia="宋体" w:cs="Times New Roman"/>
        <w:snapToGr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kinsoku/>
      <w:autoSpaceDE/>
      <w:autoSpaceDN/>
      <w:adjustRightInd/>
      <w:spacing w:line="240" w:lineRule="auto"/>
      <w:textAlignment w:val="auto"/>
      <w:rPr>
        <w:rFonts w:ascii="Times New Roman" w:hAnsi="Times New Roman" w:eastAsia="宋体" w:cs="Times New Roman"/>
        <w:snapToGr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ZjU4MDViY2MwY2MzNzgyYmYxZjIxMzUzZTlmMmYifQ=="/>
  </w:docVars>
  <w:rsids>
    <w:rsidRoot w:val="3A7C2A74"/>
    <w:rsid w:val="061E3DB6"/>
    <w:rsid w:val="07DE5AAF"/>
    <w:rsid w:val="0A1D7496"/>
    <w:rsid w:val="0A8C2E5F"/>
    <w:rsid w:val="18FE04AE"/>
    <w:rsid w:val="1ABB0114"/>
    <w:rsid w:val="1B256297"/>
    <w:rsid w:val="1BAB4638"/>
    <w:rsid w:val="1BDA4AC1"/>
    <w:rsid w:val="1C7E7ECD"/>
    <w:rsid w:val="224966E3"/>
    <w:rsid w:val="24512859"/>
    <w:rsid w:val="245E0E58"/>
    <w:rsid w:val="25FF3A45"/>
    <w:rsid w:val="27BD701C"/>
    <w:rsid w:val="2B6A5A2B"/>
    <w:rsid w:val="2B6A5CC1"/>
    <w:rsid w:val="2CCC6994"/>
    <w:rsid w:val="2D247068"/>
    <w:rsid w:val="2E530CBA"/>
    <w:rsid w:val="2F885F1B"/>
    <w:rsid w:val="31434890"/>
    <w:rsid w:val="33510B63"/>
    <w:rsid w:val="340A72B4"/>
    <w:rsid w:val="34AF4725"/>
    <w:rsid w:val="358B6F41"/>
    <w:rsid w:val="39DA612C"/>
    <w:rsid w:val="3A7C2A74"/>
    <w:rsid w:val="3A970057"/>
    <w:rsid w:val="3E7105D4"/>
    <w:rsid w:val="415229BC"/>
    <w:rsid w:val="42D706C5"/>
    <w:rsid w:val="44177A69"/>
    <w:rsid w:val="44B56B99"/>
    <w:rsid w:val="486C398E"/>
    <w:rsid w:val="4BC77D57"/>
    <w:rsid w:val="4C970180"/>
    <w:rsid w:val="4D45010E"/>
    <w:rsid w:val="54CC7451"/>
    <w:rsid w:val="56A52A41"/>
    <w:rsid w:val="57DE5FF4"/>
    <w:rsid w:val="59017E51"/>
    <w:rsid w:val="591F0533"/>
    <w:rsid w:val="592F5306"/>
    <w:rsid w:val="5A6D2D08"/>
    <w:rsid w:val="675D43F3"/>
    <w:rsid w:val="68584200"/>
    <w:rsid w:val="6A293A8A"/>
    <w:rsid w:val="6FF77132"/>
    <w:rsid w:val="7037282D"/>
    <w:rsid w:val="735E5C3A"/>
    <w:rsid w:val="75FD4F4A"/>
    <w:rsid w:val="791D5FA2"/>
    <w:rsid w:val="79D7274E"/>
    <w:rsid w:val="7AB51C94"/>
    <w:rsid w:val="7B73403A"/>
    <w:rsid w:val="7C6E6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3">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spacing w:line="360" w:lineRule="auto"/>
      <w:ind w:firstLine="420"/>
    </w:pPr>
    <w:rPr>
      <w:rFonts w:ascii="方正仿宋简体" w:hAnsi="方正仿宋简体" w:eastAsia="方正仿宋简体"/>
      <w:szCs w:val="20"/>
    </w:rPr>
  </w:style>
  <w:style w:type="paragraph" w:styleId="5">
    <w:name w:val="Body Text"/>
    <w:basedOn w:val="1"/>
    <w:qFormat/>
    <w:uiPriority w:val="0"/>
    <w:pPr>
      <w:spacing w:after="120"/>
    </w:pPr>
  </w:style>
  <w:style w:type="paragraph" w:styleId="6">
    <w:name w:val="Body Text Indent"/>
    <w:qFormat/>
    <w:uiPriority w:val="0"/>
    <w:pPr>
      <w:widowControl w:val="0"/>
      <w:spacing w:after="120"/>
      <w:ind w:left="420" w:leftChars="200"/>
      <w:jc w:val="both"/>
    </w:pPr>
    <w:rPr>
      <w:rFonts w:ascii="Times New Roman" w:hAnsi="Times New Roman" w:eastAsia="宋体" w:cs="Times New Roman"/>
      <w:kern w:val="2"/>
      <w:sz w:val="24"/>
      <w:szCs w:val="24"/>
      <w:lang w:val="en-US" w:eastAsia="zh-CN" w:bidi="ar-SA"/>
    </w:rPr>
  </w:style>
  <w:style w:type="paragraph" w:styleId="7">
    <w:name w:val="Plain Text"/>
    <w:basedOn w:val="1"/>
    <w:qFormat/>
    <w:uiPriority w:val="0"/>
    <w:rPr>
      <w:rFonts w:ascii="宋体" w:hAnsi="Courier New" w:cs="Courier New"/>
      <w:szCs w:val="21"/>
    </w:rPr>
  </w:style>
  <w:style w:type="paragraph" w:styleId="8">
    <w:name w:val="Body Text Indent 2"/>
    <w:basedOn w:val="1"/>
    <w:qFormat/>
    <w:uiPriority w:val="0"/>
    <w:pPr>
      <w:spacing w:after="120" w:line="480" w:lineRule="auto"/>
      <w:ind w:left="420" w:leftChars="200"/>
    </w:pPr>
  </w:style>
  <w:style w:type="paragraph" w:styleId="9">
    <w:name w:val="footer"/>
    <w:basedOn w:val="1"/>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10">
    <w:name w:val="header"/>
    <w:basedOn w:val="1"/>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styleId="11">
    <w:name w:val="Body Text First Indent 2"/>
    <w:qFormat/>
    <w:uiPriority w:val="0"/>
    <w:pPr>
      <w:widowControl w:val="0"/>
      <w:tabs>
        <w:tab w:val="decimal" w:pos="0"/>
      </w:tabs>
      <w:spacing w:after="120" w:afterLines="0" w:line="240" w:lineRule="auto"/>
      <w:ind w:left="420" w:leftChars="200" w:firstLine="420" w:firstLineChars="200"/>
      <w:jc w:val="both"/>
    </w:pPr>
    <w:rPr>
      <w:rFonts w:ascii="Times New Roman" w:hAnsi="Times New Roman" w:eastAsia="宋体" w:cs="Times New Roman"/>
      <w:spacing w:val="0"/>
      <w:kern w:val="2"/>
      <w:sz w:val="21"/>
      <w:szCs w:val="24"/>
      <w:lang w:val="en-US" w:eastAsia="zh-CN" w:bidi="ar-SA"/>
    </w:rPr>
  </w:style>
  <w:style w:type="character" w:styleId="14">
    <w:name w:val="Strong"/>
    <w:basedOn w:val="13"/>
    <w:qFormat/>
    <w:uiPriority w:val="0"/>
    <w:rPr>
      <w:b/>
    </w:rPr>
  </w:style>
  <w:style w:type="paragraph" w:customStyle="1" w:styleId="15">
    <w:name w:val="BodyText1I"/>
    <w:basedOn w:val="16"/>
    <w:qFormat/>
    <w:uiPriority w:val="0"/>
    <w:pPr>
      <w:ind w:firstLine="420" w:firstLineChars="100"/>
    </w:pPr>
    <w:rPr>
      <w:sz w:val="28"/>
      <w:szCs w:val="20"/>
    </w:rPr>
  </w:style>
  <w:style w:type="paragraph" w:customStyle="1" w:styleId="16">
    <w:name w:val="BodyText"/>
    <w:basedOn w:val="1"/>
    <w:qFormat/>
    <w:uiPriority w:val="0"/>
    <w:pPr>
      <w:spacing w:after="120"/>
    </w:pPr>
    <w:rPr>
      <w:szCs w:val="21"/>
    </w:rPr>
  </w:style>
  <w:style w:type="paragraph" w:customStyle="1" w:styleId="17">
    <w:name w:val="Table Text"/>
    <w:basedOn w:val="1"/>
    <w:semiHidden/>
    <w:qFormat/>
    <w:uiPriority w:val="0"/>
    <w:rPr>
      <w:rFonts w:ascii="宋体" w:hAnsi="宋体" w:eastAsia="宋体" w:cs="宋体"/>
      <w:sz w:val="22"/>
      <w:szCs w:val="22"/>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x正文"/>
    <w:qFormat/>
    <w:uiPriority w:val="0"/>
    <w:pPr>
      <w:widowControl w:val="0"/>
      <w:autoSpaceDE w:val="0"/>
      <w:autoSpaceDN w:val="0"/>
      <w:snapToGrid w:val="0"/>
      <w:spacing w:line="360" w:lineRule="auto"/>
      <w:ind w:firstLine="200" w:firstLineChars="200"/>
      <w:jc w:val="both"/>
      <w:textAlignment w:val="center"/>
    </w:pPr>
    <w:rPr>
      <w:rFonts w:ascii="Times New Roman" w:hAnsi="Times New Roman" w:eastAsia="仿宋_GB2312" w:cs="宋体"/>
      <w:sz w:val="24"/>
      <w:szCs w:val="24"/>
      <w:lang w:val="en-US" w:eastAsia="zh-CN" w:bidi="ar-SA"/>
    </w:rPr>
  </w:style>
  <w:style w:type="paragraph" w:customStyle="1" w:styleId="20">
    <w:name w:val="报告正文"/>
    <w:qFormat/>
    <w:uiPriority w:val="0"/>
    <w:pPr>
      <w:widowControl w:val="0"/>
      <w:adjustRightInd w:val="0"/>
      <w:snapToGrid w:val="0"/>
      <w:spacing w:line="300" w:lineRule="auto"/>
      <w:jc w:val="both"/>
    </w:pPr>
    <w:rPr>
      <w:rFonts w:ascii="宋体" w:hAnsi="Times New Roman" w:eastAsia="宋体" w:cs="Times New Roman"/>
      <w:kern w:val="2"/>
      <w:sz w:val="28"/>
      <w:szCs w:val="20"/>
      <w:lang w:val="en-US" w:eastAsia="zh-CN" w:bidi="ar-SA"/>
    </w:rPr>
  </w:style>
  <w:style w:type="paragraph" w:customStyle="1" w:styleId="21">
    <w:name w:val="Table Paragraph"/>
    <w:basedOn w:val="1"/>
    <w:qFormat/>
    <w:uiPriority w:val="1"/>
    <w:pPr>
      <w:jc w:val="center"/>
    </w:pPr>
    <w:rPr>
      <w:rFonts w:ascii="宋体" w:hAnsi="宋体" w:eastAsia="宋体" w:cs="宋体"/>
      <w:lang w:val="en-US" w:eastAsia="zh-CN" w:bidi="ar-SA"/>
    </w:rPr>
  </w:style>
  <w:style w:type="character" w:customStyle="1" w:styleId="22">
    <w:name w:val="font11"/>
    <w:basedOn w:val="13"/>
    <w:qFormat/>
    <w:uiPriority w:val="0"/>
    <w:rPr>
      <w:rFonts w:hint="eastAsia" w:ascii="仿宋_GB2312" w:eastAsia="仿宋_GB2312" w:cs="仿宋_GB2312"/>
      <w:color w:val="000000"/>
      <w:sz w:val="21"/>
      <w:szCs w:val="21"/>
      <w:u w:val="none"/>
    </w:rPr>
  </w:style>
  <w:style w:type="paragraph" w:customStyle="1" w:styleId="23">
    <w:name w:val="封面"/>
    <w:basedOn w:val="1"/>
    <w:qFormat/>
    <w:uiPriority w:val="0"/>
    <w:pPr>
      <w:adjustRightInd w:val="0"/>
      <w:spacing w:line="700" w:lineRule="exact"/>
      <w:ind w:firstLine="0" w:firstLineChars="0"/>
      <w:jc w:val="center"/>
      <w:textAlignment w:val="baseline"/>
    </w:pPr>
    <w:rPr>
      <w:rFonts w:ascii="等线" w:hAnsi="等线" w:cs="Arial"/>
      <w:bCs/>
      <w:sz w:val="30"/>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01ccd3bd-4334-4197-ac08-b50cba531c81</errorID>
      <errorWord>&gt;</errorWord>
      <group>L1_Punc</group>
      <groupName>标点问题</groupName>
      <ability>L2_Punc_CN</ability>
      <abilityName>标点符号问题</abilityName>
      <candidateList/>
      <explain/>
      <paraID>53EADD6D</paraID>
      <start>0</start>
      <end>1</end>
      <status>unmodified</status>
      <modifiedWord/>
      <trackRevisions>false</trackRevisions>
    </reviewItem>
    <reviewItem>
      <errorID>c16190d7-3c4e-4a30-bc48-9728c7feccb3</errorID>
      <errorWord>&gt;</errorWord>
      <group>L1_Punc</group>
      <groupName>标点问题</groupName>
      <ability>L2_Punc_CN</ability>
      <abilityName>标点符号问题</abilityName>
      <candidateList/>
      <explain/>
      <paraID>4EA3B6E4</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1c2291-5c39-443d-ae5d-1c4ce50be711}">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2869</Words>
  <Characters>3330</Characters>
  <Lines>0</Lines>
  <Paragraphs>0</Paragraphs>
  <TotalTime>6</TotalTime>
  <ScaleCrop>false</ScaleCrop>
  <LinksUpToDate>false</LinksUpToDate>
  <CharactersWithSpaces>3382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2024-08-22T03:10:00Z</dcterms:created>
  <dc:creator></dc:creator>
  <cp:lastModifiedBy>89749</cp:lastModifiedBy>
  <cp:lastPrinted>2026-07-27T08:15:00Z</cp:lastPrinted>
  <dcterms:modified xsi:type="dcterms:W3CDTF">2026-07-27T11:17:42Z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90D6D2D8BF3E44BCA5679579AE134C3C_13</vt:lpwstr>
  </property>
  <property fmtid="{D5CDD505-2E9C-101B-9397-08002B2CF9AE}" pid="4" name="KSOTemplateDocerSaveRecord">
    <vt:lpwstr>eyJoZGlkIjoiMzI0OWRiMTZiMzRmNjNlMGUwZWQ4OTZmMWRjYmExZDUiLCJ1c2VySWQiOiI1MDE5NjM2MjYifQ==</vt:lpwstr>
  </property>
</Properties>
</file>