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75B7C">
      <w:pPr>
        <w:keepNext w:val="0"/>
        <w:keepLines w:val="0"/>
        <w:pageBreakBefore w:val="0"/>
        <w:widowControl w:val="0"/>
        <w:kinsoku/>
        <w:wordWrap/>
        <w:overflowPunct/>
        <w:topLinePunct w:val="0"/>
        <w:autoSpaceDE/>
        <w:autoSpaceDN/>
        <w:bidi w:val="0"/>
        <w:adjustRightInd/>
        <w:snapToGrid/>
        <w:spacing w:line="560" w:lineRule="exact"/>
        <w:ind w:left="0" w:right="0" w:rightChars="0"/>
        <w:jc w:val="both"/>
        <w:textAlignment w:val="center"/>
        <w:rPr>
          <w:rFonts w:hint="default" w:ascii="Times New Roman" w:hAnsi="Times New Roman" w:eastAsia="方正小标宋_GBK" w:cs="Times New Roman"/>
          <w:b w:val="0"/>
          <w:bCs w:val="0"/>
          <w:spacing w:val="0"/>
          <w:sz w:val="44"/>
          <w:szCs w:val="44"/>
          <w:lang w:val="en-US" w:eastAsia="zh-CN"/>
        </w:rPr>
      </w:pPr>
    </w:p>
    <w:p w14:paraId="55478498">
      <w:pPr>
        <w:pStyle w:val="2"/>
        <w:keepNext w:val="0"/>
        <w:keepLines w:val="0"/>
        <w:pageBreakBefore w:val="0"/>
        <w:overflowPunct/>
        <w:topLinePunct w:val="0"/>
        <w:bidi w:val="0"/>
        <w:spacing w:after="0" w:line="560" w:lineRule="exact"/>
        <w:ind w:left="0" w:right="0" w:rightChars="0"/>
        <w:rPr>
          <w:rFonts w:hint="default"/>
          <w:lang w:val="en-US" w:eastAsia="zh-CN"/>
        </w:rPr>
      </w:pPr>
    </w:p>
    <w:p w14:paraId="482A5BCC">
      <w:pPr>
        <w:keepNext w:val="0"/>
        <w:keepLines w:val="0"/>
        <w:pageBreakBefore w:val="0"/>
        <w:widowControl/>
        <w:suppressLineNumbers w:val="0"/>
        <w:kinsoku/>
        <w:wordWrap w:val="0"/>
        <w:overflowPunct/>
        <w:topLinePunct w:val="0"/>
        <w:autoSpaceDE/>
        <w:autoSpaceDN/>
        <w:bidi w:val="0"/>
        <w:adjustRightInd/>
        <w:snapToGrid/>
        <w:spacing w:line="560" w:lineRule="exact"/>
        <w:ind w:left="0" w:right="0" w:rightChars="0"/>
        <w:jc w:val="center"/>
        <w:textAlignment w:val="auto"/>
        <w:rPr>
          <w:rFonts w:hint="default" w:ascii="Times New Roman" w:hAnsi="Times New Roman" w:eastAsia="方正小标宋_GBK" w:cs="Times New Roman"/>
          <w:spacing w:val="0"/>
          <w:sz w:val="44"/>
          <w:szCs w:val="44"/>
          <w:lang w:val="en-US" w:eastAsia="zh-CN"/>
        </w:rPr>
      </w:pPr>
      <w:r>
        <w:rPr>
          <w:rFonts w:hint="default" w:ascii="Times New Roman" w:hAnsi="Times New Roman" w:eastAsia="方正小标宋_GBK" w:cs="Times New Roman"/>
          <w:b w:val="0"/>
          <w:bCs w:val="0"/>
          <w:spacing w:val="0"/>
          <w:sz w:val="44"/>
          <w:szCs w:val="44"/>
          <w:lang w:val="en-US" w:eastAsia="zh-CN"/>
        </w:rPr>
        <w:t>关于</w:t>
      </w:r>
      <w:r>
        <w:rPr>
          <w:rFonts w:hint="default" w:ascii="Times New Roman" w:hAnsi="Times New Roman" w:eastAsia="方正小标宋_GBK" w:cs="Times New Roman"/>
          <w:spacing w:val="0"/>
          <w:sz w:val="44"/>
          <w:szCs w:val="44"/>
          <w:lang w:val="en-US" w:eastAsia="zh-CN"/>
        </w:rPr>
        <w:t>对《</w:t>
      </w:r>
      <w:r>
        <w:rPr>
          <w:rFonts w:hint="eastAsia" w:ascii="Times New Roman" w:hAnsi="Times New Roman" w:eastAsia="方正小标宋_GBK" w:cs="Times New Roman"/>
          <w:spacing w:val="0"/>
          <w:sz w:val="44"/>
          <w:szCs w:val="44"/>
          <w:lang w:val="en-US" w:eastAsia="zh-CN"/>
        </w:rPr>
        <w:t>中铁二局集团有限公司</w:t>
      </w:r>
      <w:r>
        <w:rPr>
          <w:rFonts w:hint="default" w:ascii="Times New Roman" w:hAnsi="Times New Roman" w:eastAsia="方正小标宋_GBK" w:cs="Times New Roman"/>
          <w:spacing w:val="0"/>
          <w:sz w:val="44"/>
          <w:szCs w:val="44"/>
          <w:lang w:val="en-US" w:eastAsia="zh-CN"/>
        </w:rPr>
        <w:t>G3033奎屯</w:t>
      </w:r>
      <w:r>
        <w:rPr>
          <w:rFonts w:hint="eastAsia" w:ascii="Times New Roman" w:hAnsi="Times New Roman" w:eastAsia="方正小标宋_GBK" w:cs="Times New Roman"/>
          <w:spacing w:val="0"/>
          <w:sz w:val="44"/>
          <w:szCs w:val="44"/>
          <w:lang w:val="en-US" w:eastAsia="zh-CN"/>
        </w:rPr>
        <w:t>－</w:t>
      </w:r>
      <w:r>
        <w:rPr>
          <w:rFonts w:hint="default" w:ascii="Times New Roman" w:hAnsi="Times New Roman" w:eastAsia="方正小标宋_GBK" w:cs="Times New Roman"/>
          <w:spacing w:val="0"/>
          <w:sz w:val="44"/>
          <w:szCs w:val="44"/>
          <w:lang w:val="en-US" w:eastAsia="zh-CN"/>
        </w:rPr>
        <w:t>独山子</w:t>
      </w:r>
      <w:r>
        <w:rPr>
          <w:rFonts w:hint="eastAsia" w:ascii="Times New Roman" w:hAnsi="Times New Roman" w:eastAsia="方正小标宋_GBK" w:cs="Times New Roman"/>
          <w:spacing w:val="0"/>
          <w:sz w:val="44"/>
          <w:szCs w:val="44"/>
          <w:lang w:val="en-US" w:eastAsia="zh-CN"/>
        </w:rPr>
        <w:t>－</w:t>
      </w:r>
      <w:r>
        <w:rPr>
          <w:rFonts w:hint="default" w:ascii="Times New Roman" w:hAnsi="Times New Roman" w:eastAsia="方正小标宋_GBK" w:cs="Times New Roman"/>
          <w:spacing w:val="0"/>
          <w:sz w:val="44"/>
          <w:szCs w:val="44"/>
          <w:lang w:val="en-US" w:eastAsia="zh-CN"/>
        </w:rPr>
        <w:t>库车高速公路建设项</w:t>
      </w:r>
      <w:bookmarkStart w:id="27" w:name="_GoBack"/>
      <w:bookmarkEnd w:id="27"/>
      <w:r>
        <w:rPr>
          <w:rFonts w:hint="default" w:ascii="Times New Roman" w:hAnsi="Times New Roman" w:eastAsia="方正小标宋_GBK" w:cs="Times New Roman"/>
          <w:spacing w:val="0"/>
          <w:sz w:val="44"/>
          <w:szCs w:val="44"/>
          <w:lang w:val="en-US" w:eastAsia="zh-CN"/>
        </w:rPr>
        <w:t>目KDK-TJSG-4标段项目总承包部项目经理4部（</w:t>
      </w:r>
      <w:r>
        <w:rPr>
          <w:rFonts w:hint="eastAsia" w:ascii="Times New Roman" w:hAnsi="Times New Roman" w:eastAsia="方正小标宋_GBK" w:cs="Times New Roman"/>
          <w:spacing w:val="0"/>
          <w:sz w:val="44"/>
          <w:szCs w:val="44"/>
          <w:lang w:val="en-US" w:eastAsia="zh-CN"/>
        </w:rPr>
        <w:t>便道、设备存放、临时堆料、路基转料区、表土存放区、路桥驻地加宽、项目驻地补征</w:t>
      </w:r>
      <w:r>
        <w:rPr>
          <w:rFonts w:hint="default" w:ascii="Times New Roman" w:hAnsi="Times New Roman" w:eastAsia="方正小标宋_GBK" w:cs="Times New Roman"/>
          <w:spacing w:val="0"/>
          <w:sz w:val="44"/>
          <w:szCs w:val="44"/>
          <w:lang w:val="en-US" w:eastAsia="zh-CN"/>
        </w:rPr>
        <w:t>）土地复垦及植被恢复方案》公开征求意见的公告</w:t>
      </w:r>
    </w:p>
    <w:p w14:paraId="60233485">
      <w:pPr>
        <w:pStyle w:val="2"/>
        <w:keepNext w:val="0"/>
        <w:keepLines w:val="0"/>
        <w:pageBreakBefore w:val="0"/>
        <w:overflowPunct/>
        <w:topLinePunct w:val="0"/>
        <w:bidi w:val="0"/>
        <w:spacing w:after="0" w:line="560" w:lineRule="exact"/>
        <w:ind w:left="0" w:right="0" w:rightChars="0"/>
        <w:rPr>
          <w:rFonts w:hint="default"/>
          <w:lang w:val="en-US" w:eastAsia="zh-CN"/>
        </w:rPr>
      </w:pPr>
    </w:p>
    <w:p w14:paraId="44803E4D">
      <w:pPr>
        <w:keepNext w:val="0"/>
        <w:keepLines w:val="0"/>
        <w:pageBreakBefore w:val="0"/>
        <w:widowControl/>
        <w:suppressLineNumbers w:val="0"/>
        <w:kinsoku/>
        <w:wordWrap w:val="0"/>
        <w:overflowPunct/>
        <w:topLinePunct w:val="0"/>
        <w:autoSpaceDE/>
        <w:autoSpaceDN/>
        <w:bidi w:val="0"/>
        <w:adjustRightInd/>
        <w:snapToGrid/>
        <w:spacing w:line="560" w:lineRule="exact"/>
        <w:ind w:left="0" w:right="0" w:rightChars="0" w:firstLine="640" w:firstLineChars="200"/>
        <w:jc w:val="left"/>
        <w:textAlignment w:val="auto"/>
        <w:rPr>
          <w:rFonts w:hint="default" w:ascii="Times New Roman" w:hAnsi="Times New Roman" w:eastAsia="方正仿宋_GBK" w:cs="Times New Roman"/>
          <w:b w:val="0"/>
          <w:bCs w:val="0"/>
          <w:spacing w:val="0"/>
          <w:sz w:val="32"/>
          <w:szCs w:val="32"/>
          <w:lang w:val="en-US" w:eastAsia="zh-CN"/>
        </w:rPr>
      </w:pPr>
      <w:r>
        <w:rPr>
          <w:rFonts w:hint="default" w:ascii="Times New Roman" w:hAnsi="Times New Roman" w:eastAsia="方正仿宋_GBK" w:cs="Times New Roman"/>
          <w:b w:val="0"/>
          <w:bCs w:val="0"/>
          <w:spacing w:val="0"/>
          <w:sz w:val="32"/>
          <w:szCs w:val="32"/>
          <w:lang w:val="en-US" w:eastAsia="zh-CN"/>
        </w:rPr>
        <w:t>按照《土地复垦方案》文件规定，对《</w:t>
      </w:r>
      <w:r>
        <w:rPr>
          <w:rFonts w:hint="eastAsia" w:ascii="Times New Roman" w:hAnsi="Times New Roman" w:eastAsia="方正仿宋_GBK" w:cs="Times New Roman"/>
          <w:b w:val="0"/>
          <w:bCs w:val="0"/>
          <w:spacing w:val="0"/>
          <w:sz w:val="32"/>
          <w:szCs w:val="32"/>
          <w:lang w:val="en-US" w:eastAsia="zh-CN"/>
        </w:rPr>
        <w:t>中铁二局集团有限公司</w:t>
      </w:r>
      <w:r>
        <w:rPr>
          <w:rFonts w:hint="default" w:ascii="Times New Roman" w:hAnsi="Times New Roman" w:eastAsia="方正仿宋_GBK" w:cs="Times New Roman"/>
          <w:b w:val="0"/>
          <w:bCs w:val="0"/>
          <w:spacing w:val="0"/>
          <w:sz w:val="32"/>
          <w:szCs w:val="32"/>
          <w:lang w:val="en-US" w:eastAsia="zh-CN"/>
        </w:rPr>
        <w:t>G3033奎屯</w:t>
      </w:r>
      <w:r>
        <w:rPr>
          <w:rFonts w:hint="eastAsia" w:ascii="Times New Roman" w:hAnsi="Times New Roman" w:eastAsia="方正仿宋_GBK" w:cs="Times New Roman"/>
          <w:b w:val="0"/>
          <w:bCs w:val="0"/>
          <w:spacing w:val="0"/>
          <w:sz w:val="32"/>
          <w:szCs w:val="32"/>
          <w:lang w:val="en-US" w:eastAsia="zh-CN"/>
        </w:rPr>
        <w:t>－</w:t>
      </w:r>
      <w:r>
        <w:rPr>
          <w:rFonts w:hint="default" w:ascii="Times New Roman" w:hAnsi="Times New Roman" w:eastAsia="方正仿宋_GBK" w:cs="Times New Roman"/>
          <w:b w:val="0"/>
          <w:bCs w:val="0"/>
          <w:spacing w:val="0"/>
          <w:sz w:val="32"/>
          <w:szCs w:val="32"/>
          <w:lang w:val="en-US" w:eastAsia="zh-CN"/>
        </w:rPr>
        <w:t>独山子</w:t>
      </w:r>
      <w:r>
        <w:rPr>
          <w:rFonts w:hint="eastAsia" w:ascii="Times New Roman" w:hAnsi="Times New Roman" w:eastAsia="方正仿宋_GBK" w:cs="Times New Roman"/>
          <w:b w:val="0"/>
          <w:bCs w:val="0"/>
          <w:spacing w:val="0"/>
          <w:sz w:val="32"/>
          <w:szCs w:val="32"/>
          <w:lang w:val="en-US" w:eastAsia="zh-CN"/>
        </w:rPr>
        <w:t>－</w:t>
      </w:r>
      <w:r>
        <w:rPr>
          <w:rFonts w:hint="default" w:ascii="Times New Roman" w:hAnsi="Times New Roman" w:eastAsia="方正仿宋_GBK" w:cs="Times New Roman"/>
          <w:b w:val="0"/>
          <w:bCs w:val="0"/>
          <w:spacing w:val="0"/>
          <w:sz w:val="32"/>
          <w:szCs w:val="32"/>
          <w:lang w:val="en-US" w:eastAsia="zh-CN"/>
        </w:rPr>
        <w:t>库车高速公路建设项目KDK-TJSG-4标段项目总承包部项目经理4部（</w:t>
      </w:r>
      <w:r>
        <w:rPr>
          <w:rFonts w:hint="eastAsia" w:ascii="Times New Roman" w:hAnsi="Times New Roman" w:eastAsia="方正仿宋_GBK" w:cs="Times New Roman"/>
          <w:b w:val="0"/>
          <w:bCs w:val="0"/>
          <w:spacing w:val="0"/>
          <w:sz w:val="32"/>
          <w:szCs w:val="32"/>
          <w:lang w:val="en-US" w:eastAsia="zh-CN"/>
        </w:rPr>
        <w:t>便道、设备存放、临时堆料、路基转料区、表土存放区、路桥驻地加宽、项目驻地补征</w:t>
      </w:r>
      <w:r>
        <w:rPr>
          <w:rFonts w:hint="default" w:ascii="Times New Roman" w:hAnsi="Times New Roman" w:eastAsia="方正仿宋_GBK" w:cs="Times New Roman"/>
          <w:b w:val="0"/>
          <w:bCs w:val="0"/>
          <w:spacing w:val="0"/>
          <w:sz w:val="32"/>
          <w:szCs w:val="32"/>
          <w:lang w:val="en-US" w:eastAsia="zh-CN"/>
        </w:rPr>
        <w:t>）土地复垦及植被恢复方案》，对公众征询意见的公示文件要求，公示如下：</w:t>
      </w:r>
    </w:p>
    <w:p w14:paraId="7751908B">
      <w:pPr>
        <w:keepNext w:val="0"/>
        <w:keepLines w:val="0"/>
        <w:pageBreakBefore w:val="0"/>
        <w:wordWrap/>
        <w:overflowPunct/>
        <w:topLinePunct w:val="0"/>
        <w:bidi w:val="0"/>
        <w:adjustRightInd w:val="0"/>
        <w:spacing w:line="560" w:lineRule="exact"/>
        <w:ind w:left="0" w:right="0" w:rightChars="0" w:firstLine="640" w:firstLineChars="200"/>
        <w:rPr>
          <w:rFonts w:hint="default" w:ascii="Times New Roman" w:hAnsi="Times New Roman" w:eastAsia="方正黑体_GBK" w:cs="Times New Roman"/>
          <w:b w:val="0"/>
          <w:bCs w:val="0"/>
          <w:snapToGrid w:val="0"/>
          <w:color w:val="000000"/>
          <w:kern w:val="0"/>
          <w:sz w:val="32"/>
          <w:szCs w:val="32"/>
          <w:lang w:val="en-US" w:eastAsia="zh-CN" w:bidi="ar-SA"/>
        </w:rPr>
      </w:pPr>
      <w:bookmarkStart w:id="0" w:name="_Toc341112431"/>
      <w:bookmarkStart w:id="1" w:name="_Toc340440652"/>
      <w:bookmarkStart w:id="2" w:name="_Toc8106"/>
      <w:bookmarkStart w:id="3" w:name="_Toc340565702"/>
      <w:bookmarkStart w:id="4" w:name="_Toc22955"/>
      <w:bookmarkStart w:id="5" w:name="_Toc18372"/>
      <w:bookmarkStart w:id="6" w:name="_Toc340565569"/>
      <w:bookmarkStart w:id="7" w:name="_Toc82249315"/>
      <w:r>
        <w:rPr>
          <w:rFonts w:hint="default" w:ascii="Times New Roman" w:hAnsi="Times New Roman" w:eastAsia="方正黑体_GBK" w:cs="Times New Roman"/>
          <w:b w:val="0"/>
          <w:bCs w:val="0"/>
          <w:snapToGrid w:val="0"/>
          <w:color w:val="000000"/>
          <w:kern w:val="0"/>
          <w:sz w:val="32"/>
          <w:szCs w:val="32"/>
          <w:lang w:val="en-US" w:eastAsia="zh-CN" w:bidi="ar-SA"/>
        </w:rPr>
        <w:t>1.1编制背景及过程</w:t>
      </w:r>
      <w:bookmarkEnd w:id="0"/>
      <w:bookmarkEnd w:id="1"/>
      <w:bookmarkEnd w:id="2"/>
      <w:bookmarkEnd w:id="3"/>
      <w:bookmarkEnd w:id="4"/>
      <w:bookmarkEnd w:id="5"/>
      <w:bookmarkEnd w:id="6"/>
      <w:bookmarkEnd w:id="7"/>
    </w:p>
    <w:p w14:paraId="3CCA8FAA">
      <w:pPr>
        <w:pStyle w:val="17"/>
        <w:keepNext w:val="0"/>
        <w:keepLines w:val="0"/>
        <w:pageBreakBefore w:val="0"/>
        <w:wordWrap/>
        <w:overflowPunct/>
        <w:topLinePunct w:val="0"/>
        <w:bidi w:val="0"/>
        <w:adjustRightInd w:val="0"/>
        <w:snapToGrid/>
        <w:spacing w:line="560" w:lineRule="exact"/>
        <w:ind w:left="0" w:right="0" w:rightChars="0" w:firstLine="480"/>
        <w:rPr>
          <w:rFonts w:hint="default" w:ascii="Times New Roman" w:hAnsi="Times New Roman" w:eastAsia="方正仿宋_GBK" w:cs="Times New Roman"/>
          <w:sz w:val="32"/>
          <w:szCs w:val="32"/>
        </w:rPr>
      </w:pPr>
      <w:bookmarkStart w:id="8" w:name="_Toc340440653"/>
      <w:bookmarkStart w:id="9" w:name="_Toc340565703"/>
      <w:bookmarkStart w:id="10" w:name="_Toc341112432"/>
      <w:bookmarkStart w:id="11" w:name="_Toc340565570"/>
      <w:r>
        <w:rPr>
          <w:rFonts w:hint="default" w:ascii="Times New Roman" w:hAnsi="Times New Roman" w:eastAsia="方正仿宋_GBK" w:cs="Times New Roman"/>
          <w:kern w:val="0"/>
          <w:sz w:val="32"/>
          <w:szCs w:val="32"/>
          <w:lang w:val="en-US" w:eastAsia="zh-CN" w:bidi="ar-SA"/>
        </w:rPr>
        <w:t>奎屯</w:t>
      </w:r>
      <w:r>
        <w:rPr>
          <w:rFonts w:hint="eastAsia" w:eastAsia="方正仿宋_GBK" w:cs="Times New Roman"/>
          <w:kern w:val="0"/>
          <w:sz w:val="32"/>
          <w:szCs w:val="32"/>
          <w:lang w:val="en-US" w:eastAsia="zh-CN" w:bidi="ar-SA"/>
        </w:rPr>
        <w:t>－</w:t>
      </w:r>
      <w:r>
        <w:rPr>
          <w:rFonts w:hint="default" w:ascii="Times New Roman" w:hAnsi="Times New Roman" w:eastAsia="方正仿宋_GBK" w:cs="Times New Roman"/>
          <w:kern w:val="0"/>
          <w:sz w:val="32"/>
          <w:szCs w:val="32"/>
          <w:lang w:val="en-US" w:eastAsia="zh-CN" w:bidi="ar-SA"/>
        </w:rPr>
        <w:t>独山子</w:t>
      </w:r>
      <w:r>
        <w:rPr>
          <w:rFonts w:hint="eastAsia" w:eastAsia="方正仿宋_GBK" w:cs="Times New Roman"/>
          <w:kern w:val="0"/>
          <w:sz w:val="32"/>
          <w:szCs w:val="32"/>
          <w:lang w:val="en-US" w:eastAsia="zh-CN" w:bidi="ar-SA"/>
        </w:rPr>
        <w:t>－</w:t>
      </w:r>
      <w:r>
        <w:rPr>
          <w:rFonts w:hint="default" w:ascii="Times New Roman" w:hAnsi="Times New Roman" w:eastAsia="方正仿宋_GBK" w:cs="Times New Roman"/>
          <w:kern w:val="0"/>
          <w:sz w:val="32"/>
          <w:szCs w:val="32"/>
          <w:lang w:val="en-US" w:eastAsia="zh-CN" w:bidi="ar-SA"/>
        </w:rPr>
        <w:t>库车高速公路建设中天山通道是新疆实现国家重大战略目标的重要一环</w:t>
      </w:r>
      <w:r>
        <w:rPr>
          <w:rFonts w:hint="eastAsia" w:eastAsia="方正仿宋_GBK" w:cs="Times New Roman"/>
          <w:kern w:val="0"/>
          <w:sz w:val="32"/>
          <w:szCs w:val="32"/>
          <w:lang w:val="en-US" w:eastAsia="zh-CN" w:bidi="ar-SA"/>
        </w:rPr>
        <w:t>。</w:t>
      </w:r>
      <w:r>
        <w:rPr>
          <w:rFonts w:hint="default" w:ascii="Times New Roman" w:hAnsi="Times New Roman" w:eastAsia="方正仿宋_GBK" w:cs="Times New Roman"/>
          <w:kern w:val="0"/>
          <w:sz w:val="32"/>
          <w:szCs w:val="32"/>
          <w:lang w:val="en-US" w:eastAsia="zh-CN" w:bidi="ar-SA"/>
        </w:rPr>
        <w:t>本项目已于2022年7月纳入国家公路网规划。交通运输部“十四五”规划中将本项目纳入了基础设施建设重大工程中的“出疆入藏骨干通道贯通工程”专项，要求“扎实开展独山子至库车高速公路等项目前期工作”。本项目按双向四车道高速公路标准建设，建设内容包括路线、路基路面、桥涵、隧道、交叉工程、交通工程与沿线28设施、绿化工程、临时工程等。主要工程规模如下：推荐线建设里程全长392.474km，桥梁全长54.986km/147座，其中特大桥32.575km/12座、大桥18.757km/65座，中桥3.026km/46座，小桥0.626km/24座，涵洞、通道351道；隧道全长126.818km/36座，其中特长隧道96.408km/15座，长隧道24.962km/13座，中隧道4.827km/6座，短隧道0.620km/2座，桥隧比例46.32%。互通式立体交叉13处，服务区8处，停车区4处，养护工区7处，隧道管理站7处，收费站11处</w:t>
      </w:r>
      <w:r>
        <w:rPr>
          <w:rFonts w:hint="eastAsia" w:eastAsia="方正仿宋_GBK" w:cs="Times New Roman"/>
          <w:kern w:val="0"/>
          <w:sz w:val="32"/>
          <w:szCs w:val="32"/>
          <w:lang w:val="en-US" w:eastAsia="zh-CN" w:bidi="ar-SA"/>
        </w:rPr>
        <w:t>（</w:t>
      </w:r>
      <w:r>
        <w:rPr>
          <w:rFonts w:hint="default" w:ascii="Times New Roman" w:hAnsi="Times New Roman" w:eastAsia="方正仿宋_GBK" w:cs="Times New Roman"/>
          <w:kern w:val="0"/>
          <w:sz w:val="32"/>
          <w:szCs w:val="32"/>
          <w:lang w:val="en-US" w:eastAsia="zh-CN" w:bidi="ar-SA"/>
        </w:rPr>
        <w:t>其中主线收费站1处</w:t>
      </w:r>
      <w:r>
        <w:rPr>
          <w:rFonts w:hint="eastAsia" w:eastAsia="方正仿宋_GBK" w:cs="Times New Roman"/>
          <w:kern w:val="0"/>
          <w:sz w:val="32"/>
          <w:szCs w:val="32"/>
          <w:lang w:val="en-US" w:eastAsia="zh-CN" w:bidi="ar-SA"/>
        </w:rPr>
        <w:t>）</w:t>
      </w:r>
      <w:r>
        <w:rPr>
          <w:rFonts w:hint="default" w:ascii="Times New Roman" w:hAnsi="Times New Roman" w:eastAsia="方正仿宋_GBK" w:cs="Times New Roman"/>
          <w:kern w:val="0"/>
          <w:sz w:val="32"/>
          <w:szCs w:val="32"/>
          <w:lang w:val="en-US" w:eastAsia="zh-CN" w:bidi="ar-SA"/>
        </w:rPr>
        <w:t>，连接线28.149km/3条。本项目的建设不仅是新疆完善现代综合交通体系的关键环节，更是推动区域经济协同、服务国家战略、促进民族团结与社会稳定的重要工程。其必要性体现在路网优化、经济辐射、旅游促进、地形突破、投资拉动及民生保障等多维度，具有显著的社会效益与经济效益。本项目共临时征占使用</w:t>
      </w:r>
      <w:r>
        <w:rPr>
          <w:rFonts w:hint="eastAsia" w:eastAsia="方正仿宋_GBK" w:cs="Times New Roman"/>
          <w:kern w:val="0"/>
          <w:sz w:val="32"/>
          <w:szCs w:val="32"/>
          <w:lang w:val="en-US" w:eastAsia="zh-CN" w:bidi="ar-SA"/>
        </w:rPr>
        <w:t>土地</w:t>
      </w:r>
      <w:r>
        <w:rPr>
          <w:rFonts w:hint="default" w:ascii="Times New Roman" w:hAnsi="Times New Roman" w:eastAsia="方正仿宋_GBK" w:cs="Times New Roman"/>
          <w:kern w:val="0"/>
          <w:sz w:val="32"/>
          <w:szCs w:val="32"/>
          <w:lang w:val="en-US" w:eastAsia="zh-CN" w:bidi="ar-SA"/>
        </w:rPr>
        <w:t>面积7.4572公顷</w:t>
      </w:r>
      <w:r>
        <w:rPr>
          <w:rFonts w:hint="eastAsia" w:eastAsia="方正仿宋_GBK" w:cs="Times New Roman"/>
          <w:kern w:val="0"/>
          <w:sz w:val="32"/>
          <w:szCs w:val="32"/>
          <w:lang w:val="en-US" w:eastAsia="zh-CN" w:bidi="ar-SA"/>
        </w:rPr>
        <w:t>（</w:t>
      </w:r>
      <w:r>
        <w:rPr>
          <w:rFonts w:hint="default" w:ascii="Times New Roman" w:hAnsi="Times New Roman" w:eastAsia="方正仿宋_GBK" w:cs="Times New Roman"/>
          <w:kern w:val="0"/>
          <w:sz w:val="32"/>
          <w:szCs w:val="32"/>
          <w:lang w:val="en-US" w:eastAsia="zh-CN" w:bidi="ar-SA"/>
        </w:rPr>
        <w:t>折合111.858亩</w:t>
      </w:r>
      <w:r>
        <w:rPr>
          <w:rFonts w:hint="eastAsia" w:eastAsia="方正仿宋_GBK" w:cs="Times New Roman"/>
          <w:kern w:val="0"/>
          <w:sz w:val="32"/>
          <w:szCs w:val="32"/>
          <w:lang w:val="en-US" w:eastAsia="zh-CN" w:bidi="ar-SA"/>
        </w:rPr>
        <w:t>）</w:t>
      </w:r>
      <w:r>
        <w:rPr>
          <w:rFonts w:hint="default" w:ascii="Times New Roman" w:hAnsi="Times New Roman" w:eastAsia="方正仿宋_GBK" w:cs="Times New Roman"/>
          <w:kern w:val="0"/>
          <w:sz w:val="32"/>
          <w:szCs w:val="32"/>
          <w:lang w:val="en-US" w:eastAsia="zh-CN" w:bidi="ar-SA"/>
        </w:rPr>
        <w:t>，其中天然草原1.5085公顷</w:t>
      </w:r>
      <w:r>
        <w:rPr>
          <w:rFonts w:hint="eastAsia" w:eastAsia="方正仿宋_GBK" w:cs="Times New Roman"/>
          <w:kern w:val="0"/>
          <w:sz w:val="32"/>
          <w:szCs w:val="32"/>
          <w:lang w:val="en-US" w:eastAsia="zh-CN" w:bidi="ar-SA"/>
        </w:rPr>
        <w:t>（</w:t>
      </w:r>
      <w:r>
        <w:rPr>
          <w:rFonts w:hint="default" w:ascii="Times New Roman" w:hAnsi="Times New Roman" w:eastAsia="方正仿宋_GBK" w:cs="Times New Roman"/>
          <w:kern w:val="0"/>
          <w:sz w:val="32"/>
          <w:szCs w:val="32"/>
          <w:lang w:val="en-US" w:eastAsia="zh-CN" w:bidi="ar-SA"/>
        </w:rPr>
        <w:t>折合22.6275亩</w:t>
      </w:r>
      <w:r>
        <w:rPr>
          <w:rFonts w:hint="eastAsia" w:eastAsia="方正仿宋_GBK" w:cs="Times New Roman"/>
          <w:kern w:val="0"/>
          <w:sz w:val="32"/>
          <w:szCs w:val="32"/>
          <w:lang w:val="en-US" w:eastAsia="zh-CN" w:bidi="ar-SA"/>
        </w:rPr>
        <w:t>）</w:t>
      </w:r>
      <w:r>
        <w:rPr>
          <w:rFonts w:hint="default" w:ascii="Times New Roman" w:hAnsi="Times New Roman" w:eastAsia="方正仿宋_GBK" w:cs="Times New Roman"/>
          <w:kern w:val="0"/>
          <w:sz w:val="32"/>
          <w:szCs w:val="32"/>
          <w:lang w:val="en-US" w:eastAsia="zh-CN" w:bidi="ar-SA"/>
        </w:rPr>
        <w:t>，河流水面0.2755公顷（折合4.1325亩），裸岩石砾地5.6732公顷（85.098亩），拟占用土地位于和静县辖区，占地类型全部为临时占地，其中包括便道、设备存放、临时堆料、路基转料区、表土存放区、路桥驻地加宽、项目驻地补征</w:t>
      </w:r>
      <w:r>
        <w:rPr>
          <w:rFonts w:hint="eastAsia" w:eastAsia="方正仿宋_GBK" w:cs="Times New Roman"/>
          <w:kern w:val="0"/>
          <w:sz w:val="32"/>
          <w:szCs w:val="32"/>
          <w:lang w:val="en-US" w:eastAsia="zh-CN" w:bidi="ar-SA"/>
        </w:rPr>
        <w:t>。</w:t>
      </w:r>
      <w:r>
        <w:rPr>
          <w:rFonts w:hint="default" w:ascii="Times New Roman" w:hAnsi="Times New Roman" w:eastAsia="方正仿宋_GBK" w:cs="Times New Roman"/>
          <w:kern w:val="0"/>
          <w:sz w:val="32"/>
          <w:szCs w:val="32"/>
          <w:lang w:val="en-US" w:eastAsia="zh-CN" w:bidi="ar-SA"/>
        </w:rPr>
        <w:t>根据国务院颁布的《关于落实国土资源部贯彻实施〈土地复垦条例〉的通知》（新国土资发〔2011〕421号）文件要求，及时复垦利用被损毁的土地，充分挖掘废弃土地潜力，促进土地节约集约利用，保护和改善建设项目周边环境，实现社会经济与生态环境可持续发展，</w:t>
      </w:r>
      <w:r>
        <w:rPr>
          <w:rFonts w:hint="eastAsia" w:eastAsia="方正仿宋_GBK" w:cs="Times New Roman"/>
          <w:kern w:val="0"/>
          <w:sz w:val="32"/>
          <w:szCs w:val="32"/>
          <w:lang w:val="en-US" w:eastAsia="zh-CN" w:bidi="ar-SA"/>
        </w:rPr>
        <w:t>中铁二局集团有限公司</w:t>
      </w:r>
      <w:r>
        <w:rPr>
          <w:rFonts w:hint="default" w:ascii="Times New Roman" w:hAnsi="Times New Roman" w:eastAsia="方正仿宋_GBK" w:cs="Times New Roman"/>
          <w:kern w:val="0"/>
          <w:sz w:val="32"/>
          <w:szCs w:val="32"/>
          <w:lang w:val="en-US" w:eastAsia="zh-CN" w:bidi="ar-SA"/>
        </w:rPr>
        <w:t>于2026年</w:t>
      </w:r>
      <w:r>
        <w:rPr>
          <w:rFonts w:hint="eastAsia" w:eastAsia="方正仿宋_GBK" w:cs="Times New Roman"/>
          <w:kern w:val="0"/>
          <w:sz w:val="32"/>
          <w:szCs w:val="32"/>
          <w:lang w:val="en-US" w:eastAsia="zh-CN" w:bidi="ar-SA"/>
        </w:rPr>
        <w:t>6</w:t>
      </w:r>
      <w:r>
        <w:rPr>
          <w:rFonts w:hint="default" w:ascii="Times New Roman" w:hAnsi="Times New Roman" w:eastAsia="方正仿宋_GBK" w:cs="Times New Roman"/>
          <w:kern w:val="0"/>
          <w:sz w:val="32"/>
          <w:szCs w:val="32"/>
          <w:lang w:val="en-US" w:eastAsia="zh-CN" w:bidi="ar-SA"/>
        </w:rPr>
        <w:t>月委托新疆宏景源企业管理有限公司编制《</w:t>
      </w:r>
      <w:r>
        <w:rPr>
          <w:rFonts w:hint="eastAsia" w:eastAsia="方正仿宋_GBK" w:cs="Times New Roman"/>
          <w:kern w:val="0"/>
          <w:sz w:val="32"/>
          <w:szCs w:val="32"/>
          <w:lang w:val="en-US" w:eastAsia="zh-CN" w:bidi="ar-SA"/>
        </w:rPr>
        <w:t>中铁二局集团有限公司</w:t>
      </w:r>
      <w:r>
        <w:rPr>
          <w:rFonts w:hint="default" w:ascii="Times New Roman" w:hAnsi="Times New Roman" w:eastAsia="方正仿宋_GBK" w:cs="Times New Roman"/>
          <w:kern w:val="0"/>
          <w:sz w:val="32"/>
          <w:szCs w:val="32"/>
          <w:lang w:val="en-US" w:eastAsia="zh-CN" w:bidi="ar-SA"/>
        </w:rPr>
        <w:t>G3033奎屯</w:t>
      </w:r>
      <w:r>
        <w:rPr>
          <w:rFonts w:hint="eastAsia" w:eastAsia="方正仿宋_GBK" w:cs="Times New Roman"/>
          <w:kern w:val="0"/>
          <w:sz w:val="32"/>
          <w:szCs w:val="32"/>
          <w:lang w:val="en-US" w:eastAsia="zh-CN" w:bidi="ar-SA"/>
        </w:rPr>
        <w:t>－</w:t>
      </w:r>
      <w:r>
        <w:rPr>
          <w:rFonts w:hint="default" w:ascii="Times New Roman" w:hAnsi="Times New Roman" w:eastAsia="方正仿宋_GBK" w:cs="Times New Roman"/>
          <w:kern w:val="0"/>
          <w:sz w:val="32"/>
          <w:szCs w:val="32"/>
          <w:lang w:val="en-US" w:eastAsia="zh-CN" w:bidi="ar-SA"/>
        </w:rPr>
        <w:t>独山子</w:t>
      </w:r>
      <w:r>
        <w:rPr>
          <w:rFonts w:hint="eastAsia" w:eastAsia="方正仿宋_GBK" w:cs="Times New Roman"/>
          <w:kern w:val="0"/>
          <w:sz w:val="32"/>
          <w:szCs w:val="32"/>
          <w:lang w:val="en-US" w:eastAsia="zh-CN" w:bidi="ar-SA"/>
        </w:rPr>
        <w:t>－</w:t>
      </w:r>
      <w:r>
        <w:rPr>
          <w:rFonts w:hint="default" w:ascii="Times New Roman" w:hAnsi="Times New Roman" w:eastAsia="方正仿宋_GBK" w:cs="Times New Roman"/>
          <w:kern w:val="0"/>
          <w:sz w:val="32"/>
          <w:szCs w:val="32"/>
          <w:lang w:val="en-US" w:eastAsia="zh-CN" w:bidi="ar-SA"/>
        </w:rPr>
        <w:t>库车高速公路建设项目KDKTJSG-4标段项目总承包部项目经理4部（</w:t>
      </w:r>
      <w:r>
        <w:rPr>
          <w:rFonts w:hint="eastAsia" w:eastAsia="方正仿宋_GBK" w:cs="Times New Roman"/>
          <w:kern w:val="0"/>
          <w:sz w:val="32"/>
          <w:szCs w:val="32"/>
          <w:lang w:val="en-US" w:eastAsia="zh-CN" w:bidi="ar-SA"/>
        </w:rPr>
        <w:t>便道、设备存放、临时堆料、路基转料区、表土存放区、路桥驻地加宽、项目驻地补征</w:t>
      </w:r>
      <w:r>
        <w:rPr>
          <w:rFonts w:hint="default" w:ascii="Times New Roman" w:hAnsi="Times New Roman" w:eastAsia="方正仿宋_GBK" w:cs="Times New Roman"/>
          <w:kern w:val="0"/>
          <w:sz w:val="32"/>
          <w:szCs w:val="32"/>
          <w:lang w:val="en-US" w:eastAsia="zh-CN" w:bidi="ar-SA"/>
        </w:rPr>
        <w:t>）土地复垦及植被恢复方案》</w:t>
      </w:r>
      <w:r>
        <w:rPr>
          <w:rFonts w:hint="default" w:ascii="Times New Roman" w:hAnsi="Times New Roman" w:eastAsia="方正仿宋_GBK" w:cs="Times New Roman"/>
          <w:sz w:val="32"/>
          <w:szCs w:val="32"/>
        </w:rPr>
        <w:t>。</w:t>
      </w:r>
    </w:p>
    <w:p w14:paraId="0D8F3418">
      <w:pPr>
        <w:keepNext w:val="0"/>
        <w:keepLines w:val="0"/>
        <w:pageBreakBefore w:val="0"/>
        <w:wordWrap/>
        <w:overflowPunct/>
        <w:topLinePunct w:val="0"/>
        <w:bidi w:val="0"/>
        <w:adjustRightInd w:val="0"/>
        <w:spacing w:line="560" w:lineRule="exact"/>
        <w:ind w:left="0" w:right="0" w:rightChars="0" w:firstLine="640" w:firstLineChars="200"/>
        <w:rPr>
          <w:rFonts w:hint="default" w:ascii="Times New Roman" w:hAnsi="Times New Roman" w:eastAsia="方正黑体_GBK" w:cs="Times New Roman"/>
          <w:b w:val="0"/>
          <w:bCs w:val="0"/>
          <w:snapToGrid w:val="0"/>
          <w:color w:val="000000"/>
          <w:kern w:val="0"/>
          <w:sz w:val="32"/>
          <w:szCs w:val="32"/>
          <w:lang w:val="en-US" w:eastAsia="zh-CN" w:bidi="ar-SA"/>
        </w:rPr>
      </w:pPr>
      <w:bookmarkStart w:id="12" w:name="_Toc5914"/>
      <w:bookmarkStart w:id="13" w:name="_Toc25351"/>
      <w:bookmarkStart w:id="14" w:name="_Toc82249316"/>
      <w:bookmarkStart w:id="15" w:name="_Toc16492"/>
      <w:r>
        <w:rPr>
          <w:rFonts w:hint="default" w:ascii="Times New Roman" w:hAnsi="Times New Roman" w:eastAsia="方正黑体_GBK" w:cs="Times New Roman"/>
          <w:b w:val="0"/>
          <w:bCs w:val="0"/>
          <w:snapToGrid w:val="0"/>
          <w:color w:val="000000"/>
          <w:kern w:val="0"/>
          <w:sz w:val="32"/>
          <w:szCs w:val="32"/>
          <w:lang w:val="en-US" w:eastAsia="zh-CN" w:bidi="ar-SA"/>
        </w:rPr>
        <w:t>1.2复垦方案摘要</w:t>
      </w:r>
      <w:bookmarkEnd w:id="8"/>
      <w:bookmarkEnd w:id="9"/>
      <w:bookmarkEnd w:id="10"/>
      <w:bookmarkEnd w:id="11"/>
      <w:bookmarkEnd w:id="12"/>
      <w:bookmarkEnd w:id="13"/>
      <w:bookmarkEnd w:id="14"/>
      <w:bookmarkEnd w:id="15"/>
      <w:r>
        <w:rPr>
          <w:rFonts w:hint="default" w:ascii="Times New Roman" w:hAnsi="Times New Roman" w:eastAsia="方正黑体_GBK" w:cs="Times New Roman"/>
          <w:b w:val="0"/>
          <w:bCs w:val="0"/>
          <w:snapToGrid w:val="0"/>
          <w:color w:val="000000"/>
          <w:kern w:val="0"/>
          <w:sz w:val="32"/>
          <w:szCs w:val="32"/>
          <w:lang w:val="en-US" w:eastAsia="zh-CN" w:bidi="ar-SA"/>
        </w:rPr>
        <w:tab/>
      </w:r>
    </w:p>
    <w:p w14:paraId="3B5EAD0F">
      <w:pPr>
        <w:keepNext w:val="0"/>
        <w:keepLines w:val="0"/>
        <w:pageBreakBefore w:val="0"/>
        <w:wordWrap/>
        <w:overflowPunct/>
        <w:topLinePunct w:val="0"/>
        <w:bidi w:val="0"/>
        <w:spacing w:line="560" w:lineRule="exact"/>
        <w:ind w:left="0" w:right="0" w:rightChars="0" w:firstLine="640" w:firstLineChars="200"/>
        <w:outlineLvl w:val="2"/>
        <w:rPr>
          <w:rFonts w:hint="eastAsia" w:ascii="方正楷体_GBK" w:hAnsi="方正楷体_GBK" w:eastAsia="方正楷体_GBK" w:cs="方正楷体_GBK"/>
          <w:sz w:val="32"/>
          <w:szCs w:val="32"/>
        </w:rPr>
      </w:pPr>
      <w:bookmarkStart w:id="16" w:name="_Toc82249317"/>
      <w:bookmarkStart w:id="17" w:name="_Toc82249318"/>
      <w:r>
        <w:rPr>
          <w:rFonts w:hint="eastAsia" w:ascii="方正楷体_GBK" w:hAnsi="方正楷体_GBK" w:eastAsia="方正楷体_GBK" w:cs="方正楷体_GBK"/>
          <w:sz w:val="32"/>
          <w:szCs w:val="32"/>
        </w:rPr>
        <w:t>1.2.1服务年限</w:t>
      </w:r>
      <w:bookmarkEnd w:id="16"/>
    </w:p>
    <w:bookmarkEnd w:id="17"/>
    <w:p w14:paraId="5AA25507">
      <w:pPr>
        <w:keepNext w:val="0"/>
        <w:keepLines w:val="0"/>
        <w:pageBreakBefore w:val="0"/>
        <w:wordWrap/>
        <w:overflowPunct/>
        <w:topLinePunct w:val="0"/>
        <w:bidi w:val="0"/>
        <w:spacing w:line="560" w:lineRule="exact"/>
        <w:ind w:left="0" w:right="0" w:rightChars="0" w:firstLine="640" w:firstLineChars="200"/>
        <w:outlineLvl w:val="2"/>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该项目为</w:t>
      </w:r>
      <w:r>
        <w:rPr>
          <w:rFonts w:hint="eastAsia" w:ascii="Times New Roman" w:hAnsi="Times New Roman" w:eastAsia="方正仿宋_GBK" w:cs="Times New Roman"/>
          <w:sz w:val="32"/>
          <w:szCs w:val="32"/>
          <w:lang w:eastAsia="zh-CN"/>
        </w:rPr>
        <w:t>中铁二局集团有限公司</w:t>
      </w:r>
      <w:r>
        <w:rPr>
          <w:rFonts w:hint="default" w:ascii="Times New Roman" w:hAnsi="Times New Roman" w:eastAsia="方正仿宋_GBK" w:cs="Times New Roman"/>
          <w:sz w:val="32"/>
          <w:szCs w:val="32"/>
        </w:rPr>
        <w:t>G3033奎屯</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独山子</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库车高速公路建设项目KDK-TJSG-4标段项目总承包部项目经理4部（</w:t>
      </w:r>
      <w:r>
        <w:rPr>
          <w:rFonts w:hint="eastAsia" w:ascii="Times New Roman" w:hAnsi="Times New Roman" w:eastAsia="方正仿宋_GBK" w:cs="Times New Roman"/>
          <w:sz w:val="32"/>
          <w:szCs w:val="32"/>
          <w:lang w:eastAsia="zh-CN"/>
        </w:rPr>
        <w:t>便道、设备存放、临时堆料、路基转料区、表土存放区、路桥驻地加宽、项目驻地补征</w:t>
      </w:r>
      <w:r>
        <w:rPr>
          <w:rFonts w:hint="default" w:ascii="Times New Roman" w:hAnsi="Times New Roman" w:eastAsia="方正仿宋_GBK" w:cs="Times New Roman"/>
          <w:sz w:val="32"/>
          <w:szCs w:val="32"/>
        </w:rPr>
        <w:t>）临时用地，项目计划建设工期为7年（包括施工准备期和主体工程施工期，2025年</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2032年5月）。土地复垦滞后于建设期，设计复垦施工期为14个月（2033年2月</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2034年4月）。因此，最终确定本方案的服务年限8年11个月，即2025年5月</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2034年4</w:t>
      </w:r>
      <w:r>
        <w:rPr>
          <w:rFonts w:hint="default" w:ascii="Times New Roman" w:hAnsi="Times New Roman" w:eastAsia="方正仿宋_GBK" w:cs="Times New Roman"/>
          <w:sz w:val="32"/>
          <w:szCs w:val="32"/>
          <w:lang w:val="en-US" w:eastAsia="zh-CN"/>
        </w:rPr>
        <w:t>月。</w:t>
      </w:r>
    </w:p>
    <w:p w14:paraId="3364EFF4">
      <w:pPr>
        <w:keepNext w:val="0"/>
        <w:keepLines w:val="0"/>
        <w:pageBreakBefore w:val="0"/>
        <w:wordWrap/>
        <w:overflowPunct/>
        <w:topLinePunct w:val="0"/>
        <w:bidi w:val="0"/>
        <w:spacing w:line="560" w:lineRule="exact"/>
        <w:ind w:left="0" w:right="0" w:rightChars="0" w:firstLine="640" w:firstLineChars="200"/>
        <w:outlineLvl w:val="2"/>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1.2.2工程涉及的各类土地面积</w:t>
      </w:r>
    </w:p>
    <w:p w14:paraId="62C92A05">
      <w:pPr>
        <w:pStyle w:val="7"/>
        <w:keepNext w:val="0"/>
        <w:keepLines w:val="0"/>
        <w:pageBreakBefore w:val="0"/>
        <w:overflowPunct/>
        <w:topLinePunct w:val="0"/>
        <w:bidi w:val="0"/>
        <w:spacing w:after="0" w:line="560" w:lineRule="exact"/>
        <w:ind w:left="0" w:right="0" w:rightChars="0" w:firstLine="640" w:firstLineChars="200"/>
        <w:jc w:val="both"/>
        <w:rPr>
          <w:rFonts w:hint="default" w:ascii="Times New Roman" w:hAnsi="Times New Roman" w:eastAsia="方正仿宋_GBK" w:cs="Times New Roman"/>
          <w:color w:val="000000" w:themeColor="text1"/>
          <w:sz w:val="32"/>
          <w:szCs w:val="32"/>
          <w:lang w:eastAsia="zh-CN"/>
          <w14:textFill>
            <w14:solidFill>
              <w14:schemeClr w14:val="tx1"/>
            </w14:solidFill>
          </w14:textFill>
        </w:rPr>
      </w:pPr>
      <w:bookmarkStart w:id="18" w:name="OLE_LINK2"/>
      <w:r>
        <w:rPr>
          <w:rFonts w:hint="default" w:ascii="Times New Roman" w:hAnsi="Times New Roman" w:eastAsia="方正仿宋_GBK" w:cs="Times New Roman"/>
          <w:sz w:val="32"/>
          <w:szCs w:val="32"/>
          <w:lang w:eastAsia="zh-CN"/>
        </w:rPr>
        <w:t>本</w:t>
      </w:r>
      <w:r>
        <w:rPr>
          <w:rFonts w:hint="default" w:ascii="Times New Roman" w:hAnsi="Times New Roman" w:eastAsia="方正仿宋_GBK" w:cs="Times New Roman"/>
          <w:spacing w:val="3"/>
          <w:sz w:val="32"/>
          <w:szCs w:val="32"/>
          <w:lang w:eastAsia="zh-CN"/>
        </w:rPr>
        <w:t>项目</w:t>
      </w:r>
      <w:bookmarkStart w:id="19" w:name="_Hlk228363122"/>
      <w:r>
        <w:rPr>
          <w:rFonts w:hint="default" w:ascii="Times New Roman" w:hAnsi="Times New Roman" w:eastAsia="方正仿宋_GBK" w:cs="Times New Roman"/>
          <w:spacing w:val="3"/>
          <w:sz w:val="32"/>
          <w:szCs w:val="32"/>
          <w:lang w:eastAsia="zh-CN"/>
        </w:rPr>
        <w:t>临时征占使用面积共</w:t>
      </w:r>
      <w:r>
        <w:rPr>
          <w:rFonts w:hint="default" w:ascii="Times New Roman" w:hAnsi="Times New Roman" w:eastAsia="方正仿宋_GBK" w:cs="Times New Roman"/>
          <w:spacing w:val="3"/>
          <w:sz w:val="32"/>
          <w:szCs w:val="32"/>
          <w:lang w:val="en-US" w:eastAsia="zh-CN"/>
        </w:rPr>
        <w:t>7.4572公顷</w:t>
      </w:r>
      <w:r>
        <w:rPr>
          <w:rFonts w:hint="eastAsia" w:ascii="Times New Roman" w:hAnsi="Times New Roman" w:eastAsia="方正仿宋_GBK" w:cs="Times New Roman"/>
          <w:spacing w:val="3"/>
          <w:sz w:val="32"/>
          <w:szCs w:val="32"/>
          <w:lang w:val="en-US" w:eastAsia="zh-CN"/>
        </w:rPr>
        <w:t>（</w:t>
      </w:r>
      <w:r>
        <w:rPr>
          <w:rFonts w:hint="default" w:ascii="Times New Roman" w:hAnsi="Times New Roman" w:eastAsia="方正仿宋_GBK" w:cs="Times New Roman"/>
          <w:spacing w:val="3"/>
          <w:sz w:val="32"/>
          <w:szCs w:val="32"/>
          <w:lang w:val="en-US" w:eastAsia="zh-CN"/>
        </w:rPr>
        <w:t>折合111.858亩</w:t>
      </w:r>
      <w:r>
        <w:rPr>
          <w:rFonts w:hint="eastAsia" w:ascii="Times New Roman" w:hAnsi="Times New Roman" w:eastAsia="方正仿宋_GBK" w:cs="Times New Roman"/>
          <w:spacing w:val="3"/>
          <w:sz w:val="32"/>
          <w:szCs w:val="32"/>
          <w:lang w:val="en-US" w:eastAsia="zh-CN"/>
        </w:rPr>
        <w:t>）</w:t>
      </w:r>
      <w:r>
        <w:rPr>
          <w:rFonts w:hint="default" w:ascii="Times New Roman" w:hAnsi="Times New Roman" w:eastAsia="方正仿宋_GBK" w:cs="Times New Roman"/>
          <w:spacing w:val="3"/>
          <w:sz w:val="32"/>
          <w:szCs w:val="32"/>
          <w:lang w:val="en-US" w:eastAsia="zh-CN"/>
        </w:rPr>
        <w:t>，其中天然草原1.5085公顷</w:t>
      </w:r>
      <w:r>
        <w:rPr>
          <w:rFonts w:hint="eastAsia" w:ascii="Times New Roman" w:hAnsi="Times New Roman" w:eastAsia="方正仿宋_GBK" w:cs="Times New Roman"/>
          <w:spacing w:val="3"/>
          <w:sz w:val="32"/>
          <w:szCs w:val="32"/>
          <w:lang w:val="en-US" w:eastAsia="zh-CN"/>
        </w:rPr>
        <w:t>（</w:t>
      </w:r>
      <w:r>
        <w:rPr>
          <w:rFonts w:hint="default" w:ascii="Times New Roman" w:hAnsi="Times New Roman" w:eastAsia="方正仿宋_GBK" w:cs="Times New Roman"/>
          <w:spacing w:val="3"/>
          <w:sz w:val="32"/>
          <w:szCs w:val="32"/>
          <w:lang w:val="en-US" w:eastAsia="zh-CN"/>
        </w:rPr>
        <w:t>折合22.6275亩</w:t>
      </w:r>
      <w:r>
        <w:rPr>
          <w:rFonts w:hint="eastAsia" w:ascii="Times New Roman" w:hAnsi="Times New Roman" w:eastAsia="方正仿宋_GBK" w:cs="Times New Roman"/>
          <w:spacing w:val="3"/>
          <w:sz w:val="32"/>
          <w:szCs w:val="32"/>
          <w:lang w:val="en-US" w:eastAsia="zh-CN"/>
        </w:rPr>
        <w:t>）</w:t>
      </w:r>
      <w:r>
        <w:rPr>
          <w:rFonts w:hint="default" w:ascii="Times New Roman" w:hAnsi="Times New Roman" w:eastAsia="方正仿宋_GBK" w:cs="Times New Roman"/>
          <w:spacing w:val="3"/>
          <w:sz w:val="32"/>
          <w:szCs w:val="32"/>
          <w:lang w:val="en-US" w:eastAsia="zh-CN"/>
        </w:rPr>
        <w:t>，河流水面0.2755公顷（折合4.1325亩），裸岩石砾地5.6732公顷（85.098亩）</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bookmarkEnd w:id="19"/>
      <w:r>
        <w:rPr>
          <w:rFonts w:hint="default" w:ascii="Times New Roman" w:hAnsi="Times New Roman" w:eastAsia="方正仿宋_GBK" w:cs="Times New Roman"/>
          <w:color w:val="000000" w:themeColor="text1"/>
          <w:sz w:val="32"/>
          <w:szCs w:val="32"/>
          <w:lang w:eastAsia="zh-CN"/>
          <w14:textFill>
            <w14:solidFill>
              <w14:schemeClr w14:val="tx1"/>
            </w14:solidFill>
          </w14:textFill>
        </w:rPr>
        <w:t>使用土地类型：见下表：</w:t>
      </w:r>
    </w:p>
    <w:p w14:paraId="502ABBA2">
      <w:pPr>
        <w:keepNext w:val="0"/>
        <w:keepLines w:val="0"/>
        <w:pageBreakBefore w:val="0"/>
        <w:overflowPunct/>
        <w:topLinePunct w:val="0"/>
        <w:bidi w:val="0"/>
        <w:spacing w:line="560" w:lineRule="exact"/>
        <w:ind w:left="0" w:right="0" w:rightChars="0"/>
        <w:jc w:val="center"/>
        <w:rPr>
          <w:rFonts w:hint="eastAsia" w:ascii="仿宋" w:hAnsi="仿宋" w:eastAsia="仿宋" w:cs="仿宋"/>
          <w:b/>
          <w:bCs/>
          <w:color w:val="000000" w:themeColor="text1"/>
          <w:sz w:val="24"/>
          <w:szCs w:val="24"/>
          <w:lang w:eastAsia="zh-CN"/>
          <w14:textFill>
            <w14:solidFill>
              <w14:schemeClr w14:val="tx1"/>
            </w14:solidFill>
          </w14:textFill>
        </w:rPr>
      </w:pPr>
      <w:r>
        <w:rPr>
          <w:rFonts w:hint="eastAsia" w:ascii="仿宋" w:hAnsi="仿宋" w:eastAsia="仿宋" w:cs="仿宋"/>
          <w:b/>
          <w:bCs/>
          <w:color w:val="000000" w:themeColor="text1"/>
          <w:sz w:val="24"/>
          <w:szCs w:val="24"/>
          <w:lang w:eastAsia="zh-CN"/>
          <w14:textFill>
            <w14:solidFill>
              <w14:schemeClr w14:val="tx1"/>
            </w14:solidFill>
          </w14:textFill>
        </w:rPr>
        <w:t>表2-1方案涉及各类土地面积表</w:t>
      </w:r>
    </w:p>
    <w:tbl>
      <w:tblPr>
        <w:tblStyle w:val="13"/>
        <w:tblpPr w:leftFromText="180" w:rightFromText="180" w:vertAnchor="text" w:horzAnchor="page" w:tblpX="1659" w:tblpY="387"/>
        <w:tblOverlap w:val="never"/>
        <w:tblW w:w="8738" w:type="dxa"/>
        <w:tblInd w:w="0" w:type="dxa"/>
        <w:tblLayout w:type="fixed"/>
        <w:tblCellMar>
          <w:top w:w="0" w:type="dxa"/>
          <w:left w:w="0" w:type="dxa"/>
          <w:bottom w:w="0" w:type="dxa"/>
          <w:right w:w="0" w:type="dxa"/>
        </w:tblCellMar>
      </w:tblPr>
      <w:tblGrid>
        <w:gridCol w:w="3234"/>
        <w:gridCol w:w="1795"/>
        <w:gridCol w:w="1231"/>
        <w:gridCol w:w="1215"/>
        <w:gridCol w:w="1263"/>
      </w:tblGrid>
      <w:tr w14:paraId="111A1066">
        <w:tblPrEx>
          <w:tblCellMar>
            <w:top w:w="0" w:type="dxa"/>
            <w:left w:w="0" w:type="dxa"/>
            <w:bottom w:w="0" w:type="dxa"/>
            <w:right w:w="0" w:type="dxa"/>
          </w:tblCellMar>
        </w:tblPrEx>
        <w:trPr>
          <w:trHeight w:val="1273" w:hRule="exact"/>
        </w:trPr>
        <w:tc>
          <w:tcPr>
            <w:tcW w:w="3234" w:type="dxa"/>
            <w:tcBorders>
              <w:top w:val="single" w:color="000000" w:sz="4" w:space="0"/>
              <w:left w:val="single" w:color="000000" w:sz="4" w:space="0"/>
              <w:bottom w:val="single" w:color="000000" w:sz="4" w:space="0"/>
              <w:right w:val="single" w:color="000000" w:sz="4" w:space="0"/>
            </w:tcBorders>
            <w:vAlign w:val="center"/>
          </w:tcPr>
          <w:p w14:paraId="1BE3D597">
            <w:pPr>
              <w:pStyle w:val="19"/>
              <w:keepNext w:val="0"/>
              <w:keepLines w:val="0"/>
              <w:pageBreakBefore w:val="0"/>
              <w:overflowPunct/>
              <w:topLinePunct w:val="0"/>
              <w:bidi w:val="0"/>
              <w:spacing w:line="560" w:lineRule="exact"/>
              <w:ind w:left="0" w:right="0" w:rightChars="0"/>
              <w:rPr>
                <w:rFonts w:hint="eastAsia" w:ascii="仿宋" w:hAnsi="仿宋" w:eastAsia="仿宋" w:cs="仿宋"/>
              </w:rPr>
            </w:pPr>
            <w:bookmarkStart w:id="20" w:name="_Hlk228967561"/>
            <w:r>
              <w:rPr>
                <w:rFonts w:ascii="仿宋" w:hAnsi="仿宋" w:eastAsia="仿宋" w:cs="仿宋"/>
                <w:b/>
                <w:bCs/>
              </w:rPr>
              <w:t>名称</w:t>
            </w:r>
          </w:p>
        </w:tc>
        <w:tc>
          <w:tcPr>
            <w:tcW w:w="1795" w:type="dxa"/>
            <w:tcBorders>
              <w:top w:val="single" w:color="000000" w:sz="4" w:space="0"/>
              <w:left w:val="single" w:color="000000" w:sz="4" w:space="0"/>
              <w:bottom w:val="single" w:color="000000" w:sz="4" w:space="0"/>
              <w:right w:val="single" w:color="000000" w:sz="4" w:space="0"/>
            </w:tcBorders>
            <w:vAlign w:val="center"/>
          </w:tcPr>
          <w:p w14:paraId="765BA547">
            <w:pPr>
              <w:pStyle w:val="19"/>
              <w:keepNext w:val="0"/>
              <w:keepLines w:val="0"/>
              <w:pageBreakBefore w:val="0"/>
              <w:overflowPunct/>
              <w:topLinePunct w:val="0"/>
              <w:bidi w:val="0"/>
              <w:spacing w:line="560" w:lineRule="exact"/>
              <w:ind w:left="0" w:right="0" w:rightChars="0"/>
              <w:rPr>
                <w:rFonts w:hint="eastAsia" w:ascii="仿宋" w:hAnsi="仿宋" w:eastAsia="仿宋" w:cs="仿宋"/>
              </w:rPr>
            </w:pPr>
            <w:r>
              <w:rPr>
                <w:rFonts w:ascii="仿宋" w:hAnsi="仿宋" w:eastAsia="仿宋" w:cs="仿宋"/>
                <w:b/>
                <w:bCs/>
              </w:rPr>
              <w:t>微地形</w:t>
            </w:r>
          </w:p>
          <w:p w14:paraId="229E2165">
            <w:pPr>
              <w:pStyle w:val="19"/>
              <w:keepNext w:val="0"/>
              <w:keepLines w:val="0"/>
              <w:pageBreakBefore w:val="0"/>
              <w:overflowPunct/>
              <w:topLinePunct w:val="0"/>
              <w:bidi w:val="0"/>
              <w:spacing w:line="560" w:lineRule="exact"/>
              <w:ind w:left="0" w:right="0" w:rightChars="0"/>
              <w:rPr>
                <w:rFonts w:hint="eastAsia" w:ascii="仿宋" w:hAnsi="仿宋" w:eastAsia="仿宋" w:cs="仿宋"/>
              </w:rPr>
            </w:pPr>
            <w:r>
              <w:rPr>
                <w:rFonts w:ascii="仿宋" w:hAnsi="仿宋" w:eastAsia="仿宋" w:cs="仿宋"/>
                <w:b/>
                <w:bCs/>
              </w:rPr>
              <w:t>地貌</w:t>
            </w:r>
          </w:p>
        </w:tc>
        <w:tc>
          <w:tcPr>
            <w:tcW w:w="1231" w:type="dxa"/>
            <w:tcBorders>
              <w:top w:val="single" w:color="000000" w:sz="4" w:space="0"/>
              <w:left w:val="single" w:color="000000" w:sz="4" w:space="0"/>
              <w:bottom w:val="single" w:color="000000" w:sz="4" w:space="0"/>
              <w:right w:val="single" w:color="000000" w:sz="4" w:space="0"/>
            </w:tcBorders>
            <w:vAlign w:val="center"/>
          </w:tcPr>
          <w:p w14:paraId="345FC404">
            <w:pPr>
              <w:pStyle w:val="19"/>
              <w:keepNext w:val="0"/>
              <w:keepLines w:val="0"/>
              <w:pageBreakBefore w:val="0"/>
              <w:overflowPunct/>
              <w:topLinePunct w:val="0"/>
              <w:bidi w:val="0"/>
              <w:spacing w:line="560" w:lineRule="exact"/>
              <w:ind w:left="0" w:right="0" w:rightChars="0"/>
              <w:rPr>
                <w:rFonts w:hint="eastAsia" w:ascii="仿宋" w:hAnsi="仿宋" w:eastAsia="仿宋" w:cs="仿宋"/>
              </w:rPr>
            </w:pPr>
            <w:r>
              <w:rPr>
                <w:rFonts w:ascii="仿宋" w:hAnsi="仿宋" w:eastAsia="仿宋" w:cs="仿宋"/>
                <w:b/>
                <w:bCs/>
              </w:rPr>
              <w:t>损毁面积</w:t>
            </w:r>
          </w:p>
          <w:p w14:paraId="22EA2172">
            <w:pPr>
              <w:pStyle w:val="19"/>
              <w:keepNext w:val="0"/>
              <w:keepLines w:val="0"/>
              <w:pageBreakBefore w:val="0"/>
              <w:overflowPunct/>
              <w:topLinePunct w:val="0"/>
              <w:bidi w:val="0"/>
              <w:spacing w:line="560" w:lineRule="exact"/>
              <w:ind w:left="0" w:right="0" w:rightChars="0"/>
              <w:rPr>
                <w:rFonts w:hint="eastAsia" w:ascii="仿宋" w:hAnsi="仿宋" w:eastAsia="仿宋" w:cs="仿宋"/>
              </w:rPr>
            </w:pPr>
            <w:r>
              <w:rPr>
                <w:rFonts w:ascii="仿宋"/>
                <w:b/>
                <w:spacing w:val="1"/>
                <w:w w:val="98"/>
              </w:rPr>
              <w:t>(hm</w:t>
            </w:r>
            <w:r>
              <w:rPr>
                <w:rFonts w:ascii="仿宋"/>
                <w:b/>
                <w:spacing w:val="-1"/>
                <w:w w:val="105"/>
                <w:position w:val="10"/>
                <w:sz w:val="10"/>
              </w:rPr>
              <w:t>2</w:t>
            </w:r>
            <w:r>
              <w:rPr>
                <w:rFonts w:ascii="仿宋"/>
                <w:b/>
                <w:w w:val="98"/>
              </w:rPr>
              <w:t>)</w:t>
            </w:r>
          </w:p>
        </w:tc>
        <w:tc>
          <w:tcPr>
            <w:tcW w:w="1215" w:type="dxa"/>
            <w:tcBorders>
              <w:top w:val="single" w:color="000000" w:sz="4" w:space="0"/>
              <w:left w:val="single" w:color="000000" w:sz="4" w:space="0"/>
              <w:bottom w:val="single" w:color="000000" w:sz="4" w:space="0"/>
              <w:right w:val="single" w:color="000000" w:sz="4" w:space="0"/>
            </w:tcBorders>
            <w:vAlign w:val="center"/>
          </w:tcPr>
          <w:p w14:paraId="31C0AD96">
            <w:pPr>
              <w:pStyle w:val="19"/>
              <w:keepNext w:val="0"/>
              <w:keepLines w:val="0"/>
              <w:pageBreakBefore w:val="0"/>
              <w:overflowPunct/>
              <w:topLinePunct w:val="0"/>
              <w:bidi w:val="0"/>
              <w:spacing w:line="560" w:lineRule="exact"/>
              <w:ind w:left="0" w:right="0" w:rightChars="0"/>
              <w:rPr>
                <w:rFonts w:hint="eastAsia" w:ascii="仿宋" w:hAnsi="仿宋" w:eastAsia="仿宋" w:cs="仿宋"/>
              </w:rPr>
            </w:pPr>
            <w:r>
              <w:rPr>
                <w:rFonts w:ascii="仿宋" w:hAnsi="仿宋" w:eastAsia="仿宋" w:cs="仿宋"/>
                <w:b/>
                <w:bCs/>
              </w:rPr>
              <w:t>土地类型</w:t>
            </w:r>
          </w:p>
        </w:tc>
        <w:tc>
          <w:tcPr>
            <w:tcW w:w="1263" w:type="dxa"/>
            <w:tcBorders>
              <w:top w:val="single" w:color="000000" w:sz="4" w:space="0"/>
              <w:left w:val="single" w:color="000000" w:sz="4" w:space="0"/>
              <w:bottom w:val="single" w:color="000000" w:sz="4" w:space="0"/>
              <w:right w:val="single" w:color="000000" w:sz="4" w:space="0"/>
            </w:tcBorders>
            <w:vAlign w:val="center"/>
          </w:tcPr>
          <w:p w14:paraId="38BC4727">
            <w:pPr>
              <w:pStyle w:val="19"/>
              <w:keepNext w:val="0"/>
              <w:keepLines w:val="0"/>
              <w:pageBreakBefore w:val="0"/>
              <w:overflowPunct/>
              <w:topLinePunct w:val="0"/>
              <w:bidi w:val="0"/>
              <w:spacing w:line="560" w:lineRule="exact"/>
              <w:ind w:left="0" w:right="0" w:rightChars="0"/>
              <w:rPr>
                <w:rFonts w:hint="eastAsia" w:ascii="仿宋" w:hAnsi="仿宋" w:eastAsia="仿宋" w:cs="仿宋"/>
              </w:rPr>
            </w:pPr>
            <w:r>
              <w:rPr>
                <w:rFonts w:hint="eastAsia" w:ascii="仿宋" w:hAnsi="仿宋" w:eastAsia="仿宋" w:cs="仿宋"/>
                <w:b/>
                <w:bCs/>
              </w:rPr>
              <w:t>占总面积比例（</w:t>
            </w:r>
            <w:r>
              <w:rPr>
                <w:rFonts w:ascii="仿宋" w:hAnsi="仿宋" w:eastAsia="仿宋" w:cs="仿宋"/>
                <w:b/>
                <w:bCs/>
              </w:rPr>
              <w:t>%</w:t>
            </w:r>
            <w:r>
              <w:rPr>
                <w:rFonts w:hint="eastAsia" w:ascii="仿宋" w:hAnsi="仿宋" w:eastAsia="仿宋" w:cs="仿宋"/>
                <w:b/>
                <w:bCs/>
              </w:rPr>
              <w:t>）</w:t>
            </w:r>
          </w:p>
        </w:tc>
      </w:tr>
      <w:tr w14:paraId="048C9145">
        <w:tblPrEx>
          <w:tblCellMar>
            <w:top w:w="0" w:type="dxa"/>
            <w:left w:w="0" w:type="dxa"/>
            <w:bottom w:w="0" w:type="dxa"/>
            <w:right w:w="0" w:type="dxa"/>
          </w:tblCellMar>
        </w:tblPrEx>
        <w:trPr>
          <w:trHeight w:val="1182" w:hRule="exact"/>
        </w:trPr>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DDC25">
            <w:pPr>
              <w:pStyle w:val="19"/>
              <w:keepNext w:val="0"/>
              <w:keepLines w:val="0"/>
              <w:pageBreakBefore w:val="0"/>
              <w:overflowPunct/>
              <w:topLinePunct w:val="0"/>
              <w:bidi w:val="0"/>
              <w:spacing w:line="560" w:lineRule="exact"/>
              <w:ind w:left="0" w:right="0" w:rightChars="0"/>
              <w:jc w:val="left"/>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便道、设备存放、临时堆料、路基转料区、表土存放区、路桥驻地加宽、项目驻地补征</w:t>
            </w:r>
          </w:p>
        </w:tc>
        <w:tc>
          <w:tcPr>
            <w:tcW w:w="1795" w:type="dxa"/>
            <w:tcBorders>
              <w:top w:val="single" w:color="000000" w:sz="4" w:space="0"/>
              <w:left w:val="single" w:color="000000" w:sz="4" w:space="0"/>
              <w:bottom w:val="single" w:color="000000" w:sz="4" w:space="0"/>
              <w:right w:val="single" w:color="000000" w:sz="4" w:space="0"/>
            </w:tcBorders>
            <w:vAlign w:val="center"/>
          </w:tcPr>
          <w:p w14:paraId="5494AA8D">
            <w:pPr>
              <w:pStyle w:val="19"/>
              <w:keepNext w:val="0"/>
              <w:keepLines w:val="0"/>
              <w:pageBreakBefore w:val="0"/>
              <w:overflowPunct/>
              <w:topLinePunct w:val="0"/>
              <w:bidi w:val="0"/>
              <w:spacing w:line="560" w:lineRule="exact"/>
              <w:ind w:left="0" w:right="0" w:rightChars="0"/>
              <w:jc w:val="right"/>
            </w:pPr>
            <w:r>
              <w:rPr>
                <w:rFonts w:ascii="仿宋" w:hAnsi="仿宋" w:eastAsia="仿宋" w:cs="仿宋"/>
                <w:w w:val="95"/>
                <w:sz w:val="20"/>
                <w:szCs w:val="20"/>
              </w:rPr>
              <w:t>平地</w:t>
            </w:r>
          </w:p>
        </w:tc>
        <w:tc>
          <w:tcPr>
            <w:tcW w:w="1231" w:type="dxa"/>
            <w:tcBorders>
              <w:top w:val="single" w:color="000000" w:sz="4" w:space="0"/>
              <w:left w:val="single" w:color="000000" w:sz="4" w:space="0"/>
              <w:bottom w:val="single" w:color="000000" w:sz="4" w:space="0"/>
              <w:right w:val="single" w:color="000000" w:sz="4" w:space="0"/>
            </w:tcBorders>
            <w:vAlign w:val="center"/>
          </w:tcPr>
          <w:p w14:paraId="35758663">
            <w:pPr>
              <w:pStyle w:val="19"/>
              <w:keepNext w:val="0"/>
              <w:keepLines w:val="0"/>
              <w:pageBreakBefore w:val="0"/>
              <w:overflowPunct/>
              <w:topLinePunct w:val="0"/>
              <w:bidi w:val="0"/>
              <w:spacing w:line="560" w:lineRule="exact"/>
              <w:ind w:left="0" w:right="0" w:rightChars="0"/>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1.5085</w:t>
            </w:r>
          </w:p>
        </w:tc>
        <w:tc>
          <w:tcPr>
            <w:tcW w:w="1215" w:type="dxa"/>
            <w:tcBorders>
              <w:top w:val="single" w:color="000000" w:sz="4" w:space="0"/>
              <w:left w:val="single" w:color="000000" w:sz="4" w:space="0"/>
              <w:bottom w:val="single" w:color="000000" w:sz="4" w:space="0"/>
              <w:right w:val="single" w:color="000000" w:sz="4" w:space="0"/>
            </w:tcBorders>
            <w:vAlign w:val="center"/>
          </w:tcPr>
          <w:p w14:paraId="69216692">
            <w:pPr>
              <w:pStyle w:val="19"/>
              <w:keepNext w:val="0"/>
              <w:keepLines w:val="0"/>
              <w:pageBreakBefore w:val="0"/>
              <w:overflowPunct/>
              <w:topLinePunct w:val="0"/>
              <w:bidi w:val="0"/>
              <w:spacing w:line="560" w:lineRule="exact"/>
              <w:ind w:left="0" w:right="0" w:rightChars="0"/>
              <w:rPr>
                <w:rFonts w:hint="eastAsia" w:ascii="仿宋" w:hAnsi="仿宋" w:eastAsia="仿宋" w:cs="仿宋"/>
                <w:sz w:val="20"/>
                <w:szCs w:val="20"/>
              </w:rPr>
            </w:pPr>
            <w:r>
              <w:rPr>
                <w:rFonts w:hint="eastAsia" w:ascii="仿宋" w:hAnsi="仿宋" w:eastAsia="仿宋" w:cs="仿宋"/>
                <w:sz w:val="20"/>
                <w:szCs w:val="20"/>
              </w:rPr>
              <w:t>天然草原</w:t>
            </w:r>
          </w:p>
        </w:tc>
        <w:tc>
          <w:tcPr>
            <w:tcW w:w="1263" w:type="dxa"/>
            <w:tcBorders>
              <w:top w:val="single" w:color="000000" w:sz="4" w:space="0"/>
              <w:left w:val="single" w:color="000000" w:sz="4" w:space="0"/>
              <w:bottom w:val="single" w:color="000000" w:sz="4" w:space="0"/>
              <w:right w:val="single" w:color="000000" w:sz="4" w:space="0"/>
            </w:tcBorders>
            <w:vAlign w:val="center"/>
          </w:tcPr>
          <w:p w14:paraId="265304D1">
            <w:pPr>
              <w:keepNext w:val="0"/>
              <w:keepLines w:val="0"/>
              <w:pageBreakBefore w:val="0"/>
              <w:overflowPunct/>
              <w:topLinePunct w:val="0"/>
              <w:bidi w:val="0"/>
              <w:spacing w:line="560" w:lineRule="exact"/>
              <w:ind w:left="0" w:right="0" w:rightChars="0"/>
              <w:jc w:val="center"/>
              <w:rPr>
                <w:rFonts w:hint="eastAsia" w:eastAsiaTheme="minorEastAsia"/>
                <w:lang w:eastAsia="zh-CN"/>
              </w:rPr>
            </w:pPr>
            <w:r>
              <w:rPr>
                <w:rFonts w:hint="eastAsia" w:eastAsiaTheme="minorEastAsia"/>
                <w:lang w:eastAsia="zh-CN"/>
              </w:rPr>
              <w:t>2</w:t>
            </w:r>
            <w:r>
              <w:rPr>
                <w:rFonts w:hint="eastAsia" w:eastAsiaTheme="minorEastAsia"/>
                <w:lang w:val="en-US" w:eastAsia="zh-CN"/>
              </w:rPr>
              <w:t>0</w:t>
            </w:r>
            <w:r>
              <w:rPr>
                <w:rFonts w:eastAsiaTheme="minorEastAsia"/>
                <w:lang w:eastAsia="zh-CN"/>
              </w:rPr>
              <w:t>%</w:t>
            </w:r>
          </w:p>
        </w:tc>
      </w:tr>
      <w:tr w14:paraId="029273A3">
        <w:tblPrEx>
          <w:tblCellMar>
            <w:top w:w="0" w:type="dxa"/>
            <w:left w:w="0" w:type="dxa"/>
            <w:bottom w:w="0" w:type="dxa"/>
            <w:right w:w="0" w:type="dxa"/>
          </w:tblCellMar>
        </w:tblPrEx>
        <w:trPr>
          <w:trHeight w:val="1138" w:hRule="exact"/>
        </w:trPr>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517E2">
            <w:pPr>
              <w:pStyle w:val="19"/>
              <w:keepNext w:val="0"/>
              <w:keepLines w:val="0"/>
              <w:pageBreakBefore w:val="0"/>
              <w:overflowPunct/>
              <w:topLinePunct w:val="0"/>
              <w:bidi w:val="0"/>
              <w:spacing w:line="560" w:lineRule="exact"/>
              <w:ind w:left="0" w:right="0" w:rightChars="0"/>
              <w:jc w:val="left"/>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便道、设备存放、临时堆料、路基转料区、表土存放区、路桥驻地加宽、项目驻地补征</w:t>
            </w:r>
          </w:p>
        </w:tc>
        <w:tc>
          <w:tcPr>
            <w:tcW w:w="1795" w:type="dxa"/>
            <w:tcBorders>
              <w:top w:val="single" w:color="000000" w:sz="4" w:space="0"/>
              <w:left w:val="single" w:color="000000" w:sz="4" w:space="0"/>
              <w:bottom w:val="single" w:color="000000" w:sz="4" w:space="0"/>
              <w:right w:val="single" w:color="000000" w:sz="4" w:space="0"/>
            </w:tcBorders>
            <w:vAlign w:val="center"/>
          </w:tcPr>
          <w:p w14:paraId="42DF40F7">
            <w:pPr>
              <w:pStyle w:val="19"/>
              <w:keepNext w:val="0"/>
              <w:keepLines w:val="0"/>
              <w:pageBreakBefore w:val="0"/>
              <w:overflowPunct/>
              <w:topLinePunct w:val="0"/>
              <w:bidi w:val="0"/>
              <w:spacing w:line="560" w:lineRule="exact"/>
              <w:ind w:left="0" w:right="0" w:rightChars="0"/>
              <w:jc w:val="right"/>
              <w:rPr>
                <w:rFonts w:hint="eastAsia" w:ascii="仿宋" w:hAnsi="仿宋" w:eastAsia="仿宋" w:cs="仿宋"/>
                <w:w w:val="95"/>
                <w:sz w:val="20"/>
                <w:szCs w:val="20"/>
              </w:rPr>
            </w:pPr>
            <w:r>
              <w:rPr>
                <w:rFonts w:hint="eastAsia" w:ascii="仿宋" w:hAnsi="仿宋" w:eastAsia="仿宋" w:cs="仿宋"/>
                <w:w w:val="95"/>
                <w:sz w:val="20"/>
                <w:szCs w:val="20"/>
              </w:rPr>
              <w:t>平地</w:t>
            </w:r>
          </w:p>
        </w:tc>
        <w:tc>
          <w:tcPr>
            <w:tcW w:w="1231" w:type="dxa"/>
            <w:tcBorders>
              <w:top w:val="single" w:color="000000" w:sz="4" w:space="0"/>
              <w:left w:val="single" w:color="000000" w:sz="4" w:space="0"/>
              <w:bottom w:val="single" w:color="000000" w:sz="4" w:space="0"/>
              <w:right w:val="single" w:color="000000" w:sz="4" w:space="0"/>
            </w:tcBorders>
            <w:vAlign w:val="center"/>
          </w:tcPr>
          <w:p w14:paraId="3430C8FC">
            <w:pPr>
              <w:pStyle w:val="19"/>
              <w:keepNext w:val="0"/>
              <w:keepLines w:val="0"/>
              <w:pageBreakBefore w:val="0"/>
              <w:overflowPunct/>
              <w:topLinePunct w:val="0"/>
              <w:bidi w:val="0"/>
              <w:spacing w:line="560" w:lineRule="exact"/>
              <w:ind w:left="0" w:right="0" w:rightChars="0"/>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5.6732</w:t>
            </w:r>
          </w:p>
        </w:tc>
        <w:tc>
          <w:tcPr>
            <w:tcW w:w="1215" w:type="dxa"/>
            <w:tcBorders>
              <w:top w:val="single" w:color="000000" w:sz="4" w:space="0"/>
              <w:left w:val="single" w:color="000000" w:sz="4" w:space="0"/>
              <w:bottom w:val="single" w:color="000000" w:sz="4" w:space="0"/>
              <w:right w:val="single" w:color="000000" w:sz="4" w:space="0"/>
            </w:tcBorders>
            <w:vAlign w:val="center"/>
          </w:tcPr>
          <w:p w14:paraId="10D8A595">
            <w:pPr>
              <w:pStyle w:val="19"/>
              <w:keepNext w:val="0"/>
              <w:keepLines w:val="0"/>
              <w:pageBreakBefore w:val="0"/>
              <w:overflowPunct/>
              <w:topLinePunct w:val="0"/>
              <w:bidi w:val="0"/>
              <w:spacing w:line="560" w:lineRule="exact"/>
              <w:ind w:left="0" w:right="0" w:rightChars="0"/>
              <w:rPr>
                <w:rFonts w:hint="eastAsia" w:ascii="仿宋" w:hAnsi="仿宋" w:eastAsia="仿宋" w:cs="仿宋"/>
                <w:sz w:val="20"/>
                <w:szCs w:val="20"/>
              </w:rPr>
            </w:pPr>
            <w:r>
              <w:rPr>
                <w:rFonts w:hint="eastAsia" w:ascii="仿宋" w:hAnsi="仿宋" w:eastAsia="仿宋" w:cs="仿宋"/>
                <w:sz w:val="20"/>
                <w:szCs w:val="20"/>
              </w:rPr>
              <w:t>裸岩石砾地</w:t>
            </w:r>
          </w:p>
        </w:tc>
        <w:tc>
          <w:tcPr>
            <w:tcW w:w="1263" w:type="dxa"/>
            <w:tcBorders>
              <w:top w:val="single" w:color="000000" w:sz="4" w:space="0"/>
              <w:left w:val="single" w:color="000000" w:sz="4" w:space="0"/>
              <w:bottom w:val="single" w:color="000000" w:sz="4" w:space="0"/>
              <w:right w:val="single" w:color="000000" w:sz="4" w:space="0"/>
            </w:tcBorders>
            <w:vAlign w:val="center"/>
          </w:tcPr>
          <w:p w14:paraId="41F3ACBE">
            <w:pPr>
              <w:keepNext w:val="0"/>
              <w:keepLines w:val="0"/>
              <w:pageBreakBefore w:val="0"/>
              <w:overflowPunct/>
              <w:topLinePunct w:val="0"/>
              <w:bidi w:val="0"/>
              <w:spacing w:line="560" w:lineRule="exact"/>
              <w:ind w:left="0" w:right="0" w:rightChars="0"/>
              <w:jc w:val="center"/>
            </w:pPr>
            <w:r>
              <w:rPr>
                <w:rFonts w:hint="eastAsia" w:eastAsiaTheme="minorEastAsia"/>
                <w:lang w:eastAsia="zh-CN"/>
              </w:rPr>
              <w:t>7</w:t>
            </w:r>
            <w:r>
              <w:rPr>
                <w:rFonts w:hint="eastAsia" w:eastAsiaTheme="minorEastAsia"/>
                <w:lang w:val="en-US" w:eastAsia="zh-CN"/>
              </w:rPr>
              <w:t>6</w:t>
            </w:r>
            <w:r>
              <w:t>%</w:t>
            </w:r>
          </w:p>
        </w:tc>
      </w:tr>
      <w:tr w14:paraId="33A25119">
        <w:tblPrEx>
          <w:tblCellMar>
            <w:top w:w="0" w:type="dxa"/>
            <w:left w:w="0" w:type="dxa"/>
            <w:bottom w:w="0" w:type="dxa"/>
            <w:right w:w="0" w:type="dxa"/>
          </w:tblCellMar>
        </w:tblPrEx>
        <w:trPr>
          <w:trHeight w:val="1160" w:hRule="exact"/>
        </w:trPr>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8E994">
            <w:pPr>
              <w:pStyle w:val="19"/>
              <w:keepNext w:val="0"/>
              <w:keepLines w:val="0"/>
              <w:pageBreakBefore w:val="0"/>
              <w:overflowPunct/>
              <w:topLinePunct w:val="0"/>
              <w:bidi w:val="0"/>
              <w:spacing w:line="560" w:lineRule="exact"/>
              <w:ind w:left="0" w:right="0" w:rightChars="0"/>
              <w:jc w:val="left"/>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便道、设备存放、临时堆料、路基转料区、表土存放区、路桥驻地加宽、项目驻地补征</w:t>
            </w:r>
          </w:p>
        </w:tc>
        <w:tc>
          <w:tcPr>
            <w:tcW w:w="1795" w:type="dxa"/>
            <w:tcBorders>
              <w:top w:val="single" w:color="000000" w:sz="4" w:space="0"/>
              <w:left w:val="single" w:color="000000" w:sz="4" w:space="0"/>
              <w:bottom w:val="single" w:color="000000" w:sz="4" w:space="0"/>
              <w:right w:val="single" w:color="000000" w:sz="4" w:space="0"/>
            </w:tcBorders>
            <w:vAlign w:val="center"/>
          </w:tcPr>
          <w:p w14:paraId="5ECA9BB4">
            <w:pPr>
              <w:pStyle w:val="19"/>
              <w:keepNext w:val="0"/>
              <w:keepLines w:val="0"/>
              <w:pageBreakBefore w:val="0"/>
              <w:overflowPunct/>
              <w:topLinePunct w:val="0"/>
              <w:bidi w:val="0"/>
              <w:spacing w:line="560" w:lineRule="exact"/>
              <w:ind w:left="0" w:right="0" w:rightChars="0"/>
              <w:jc w:val="right"/>
              <w:rPr>
                <w:rFonts w:hint="eastAsia" w:ascii="仿宋" w:hAnsi="仿宋" w:eastAsia="仿宋" w:cs="仿宋"/>
                <w:w w:val="95"/>
                <w:sz w:val="20"/>
                <w:szCs w:val="20"/>
              </w:rPr>
            </w:pPr>
            <w:r>
              <w:rPr>
                <w:rFonts w:hint="eastAsia" w:ascii="仿宋" w:hAnsi="仿宋" w:eastAsia="仿宋" w:cs="仿宋"/>
                <w:w w:val="95"/>
                <w:sz w:val="20"/>
                <w:szCs w:val="20"/>
              </w:rPr>
              <w:t>平地</w:t>
            </w:r>
          </w:p>
        </w:tc>
        <w:tc>
          <w:tcPr>
            <w:tcW w:w="1231" w:type="dxa"/>
            <w:tcBorders>
              <w:top w:val="single" w:color="000000" w:sz="4" w:space="0"/>
              <w:left w:val="single" w:color="000000" w:sz="4" w:space="0"/>
              <w:bottom w:val="single" w:color="000000" w:sz="4" w:space="0"/>
              <w:right w:val="single" w:color="000000" w:sz="4" w:space="0"/>
            </w:tcBorders>
            <w:vAlign w:val="center"/>
          </w:tcPr>
          <w:p w14:paraId="499F663C">
            <w:pPr>
              <w:pStyle w:val="19"/>
              <w:keepNext w:val="0"/>
              <w:keepLines w:val="0"/>
              <w:pageBreakBefore w:val="0"/>
              <w:overflowPunct/>
              <w:topLinePunct w:val="0"/>
              <w:bidi w:val="0"/>
              <w:spacing w:line="560" w:lineRule="exact"/>
              <w:ind w:left="0" w:right="0" w:rightChars="0"/>
              <w:rPr>
                <w:rFonts w:hint="default" w:ascii="仿宋" w:hAnsi="仿宋" w:eastAsia="仿宋" w:cs="仿宋"/>
                <w:sz w:val="20"/>
                <w:szCs w:val="20"/>
                <w:lang w:val="en-US" w:eastAsia="zh-CN"/>
              </w:rPr>
            </w:pPr>
            <w:r>
              <w:rPr>
                <w:rFonts w:hint="eastAsia" w:ascii="仿宋" w:hAnsi="仿宋" w:eastAsia="仿宋" w:cs="仿宋"/>
                <w:sz w:val="20"/>
                <w:szCs w:val="20"/>
              </w:rPr>
              <w:t>0.</w:t>
            </w:r>
            <w:r>
              <w:rPr>
                <w:rFonts w:hint="eastAsia" w:ascii="仿宋" w:hAnsi="仿宋" w:eastAsia="仿宋" w:cs="仿宋"/>
                <w:sz w:val="20"/>
                <w:szCs w:val="20"/>
                <w:lang w:val="en-US" w:eastAsia="zh-CN"/>
              </w:rPr>
              <w:t>2755</w:t>
            </w:r>
          </w:p>
        </w:tc>
        <w:tc>
          <w:tcPr>
            <w:tcW w:w="1215" w:type="dxa"/>
            <w:tcBorders>
              <w:top w:val="single" w:color="000000" w:sz="4" w:space="0"/>
              <w:left w:val="single" w:color="000000" w:sz="4" w:space="0"/>
              <w:bottom w:val="single" w:color="000000" w:sz="4" w:space="0"/>
              <w:right w:val="single" w:color="000000" w:sz="4" w:space="0"/>
            </w:tcBorders>
            <w:vAlign w:val="center"/>
          </w:tcPr>
          <w:p w14:paraId="3DA42133">
            <w:pPr>
              <w:pStyle w:val="19"/>
              <w:keepNext w:val="0"/>
              <w:keepLines w:val="0"/>
              <w:pageBreakBefore w:val="0"/>
              <w:overflowPunct/>
              <w:topLinePunct w:val="0"/>
              <w:bidi w:val="0"/>
              <w:spacing w:line="560" w:lineRule="exact"/>
              <w:ind w:left="0" w:right="0" w:rightChars="0"/>
              <w:rPr>
                <w:rFonts w:hint="eastAsia" w:ascii="仿宋" w:hAnsi="仿宋" w:eastAsia="仿宋" w:cs="仿宋"/>
                <w:sz w:val="20"/>
                <w:szCs w:val="20"/>
              </w:rPr>
            </w:pPr>
            <w:r>
              <w:rPr>
                <w:rFonts w:hint="eastAsia" w:ascii="仿宋" w:hAnsi="仿宋" w:eastAsia="仿宋" w:cs="仿宋"/>
                <w:sz w:val="20"/>
                <w:szCs w:val="20"/>
              </w:rPr>
              <w:t>河流水面</w:t>
            </w:r>
          </w:p>
        </w:tc>
        <w:tc>
          <w:tcPr>
            <w:tcW w:w="1263" w:type="dxa"/>
            <w:tcBorders>
              <w:top w:val="single" w:color="000000" w:sz="4" w:space="0"/>
              <w:left w:val="single" w:color="000000" w:sz="4" w:space="0"/>
              <w:bottom w:val="single" w:color="000000" w:sz="4" w:space="0"/>
              <w:right w:val="single" w:color="000000" w:sz="4" w:space="0"/>
            </w:tcBorders>
            <w:vAlign w:val="center"/>
          </w:tcPr>
          <w:p w14:paraId="7ABB4A98">
            <w:pPr>
              <w:keepNext w:val="0"/>
              <w:keepLines w:val="0"/>
              <w:pageBreakBefore w:val="0"/>
              <w:overflowPunct/>
              <w:topLinePunct w:val="0"/>
              <w:bidi w:val="0"/>
              <w:spacing w:line="560" w:lineRule="exact"/>
              <w:ind w:left="0" w:right="0" w:rightChars="0"/>
              <w:jc w:val="center"/>
            </w:pPr>
            <w:r>
              <w:rPr>
                <w:rFonts w:hint="eastAsia" w:eastAsiaTheme="minorEastAsia"/>
                <w:lang w:val="en-US" w:eastAsia="zh-CN"/>
              </w:rPr>
              <w:t>4</w:t>
            </w:r>
            <w:r>
              <w:t>%</w:t>
            </w:r>
          </w:p>
        </w:tc>
      </w:tr>
      <w:tr w14:paraId="7C2ADF56">
        <w:tblPrEx>
          <w:tblCellMar>
            <w:top w:w="0" w:type="dxa"/>
            <w:left w:w="0" w:type="dxa"/>
            <w:bottom w:w="0" w:type="dxa"/>
            <w:right w:w="0" w:type="dxa"/>
          </w:tblCellMar>
        </w:tblPrEx>
        <w:trPr>
          <w:trHeight w:val="891" w:hRule="exact"/>
        </w:trPr>
        <w:tc>
          <w:tcPr>
            <w:tcW w:w="3234" w:type="dxa"/>
            <w:tcBorders>
              <w:top w:val="single" w:color="000000" w:sz="4" w:space="0"/>
              <w:left w:val="single" w:color="000000" w:sz="4" w:space="0"/>
              <w:bottom w:val="single" w:color="000000" w:sz="4" w:space="0"/>
              <w:right w:val="single" w:color="000000" w:sz="4" w:space="0"/>
            </w:tcBorders>
            <w:vAlign w:val="center"/>
          </w:tcPr>
          <w:p w14:paraId="75C78F6E">
            <w:pPr>
              <w:pStyle w:val="19"/>
              <w:keepNext w:val="0"/>
              <w:keepLines w:val="0"/>
              <w:pageBreakBefore w:val="0"/>
              <w:overflowPunct/>
              <w:topLinePunct w:val="0"/>
              <w:bidi w:val="0"/>
              <w:spacing w:line="560" w:lineRule="exact"/>
              <w:ind w:left="0" w:right="0" w:rightChars="0"/>
              <w:rPr>
                <w:rFonts w:hint="eastAsia" w:ascii="仿宋" w:hAnsi="仿宋" w:eastAsia="仿宋" w:cs="仿宋"/>
                <w:sz w:val="20"/>
                <w:szCs w:val="20"/>
              </w:rPr>
            </w:pPr>
            <w:r>
              <w:rPr>
                <w:rFonts w:ascii="仿宋" w:hAnsi="仿宋" w:eastAsia="仿宋" w:cs="仿宋"/>
                <w:sz w:val="20"/>
                <w:szCs w:val="20"/>
              </w:rPr>
              <w:t>合计</w:t>
            </w:r>
          </w:p>
        </w:tc>
        <w:tc>
          <w:tcPr>
            <w:tcW w:w="1795" w:type="dxa"/>
            <w:tcBorders>
              <w:top w:val="single" w:color="000000" w:sz="4" w:space="0"/>
              <w:left w:val="single" w:color="000000" w:sz="4" w:space="0"/>
              <w:bottom w:val="single" w:color="000000" w:sz="4" w:space="0"/>
              <w:right w:val="single" w:color="000000" w:sz="4" w:space="0"/>
            </w:tcBorders>
            <w:vAlign w:val="center"/>
          </w:tcPr>
          <w:p w14:paraId="40862695">
            <w:pPr>
              <w:keepNext w:val="0"/>
              <w:keepLines w:val="0"/>
              <w:pageBreakBefore w:val="0"/>
              <w:overflowPunct/>
              <w:topLinePunct w:val="0"/>
              <w:bidi w:val="0"/>
              <w:spacing w:line="560" w:lineRule="exact"/>
              <w:ind w:left="0" w:right="0" w:rightChars="0"/>
              <w:rPr>
                <w:rFonts w:eastAsia="宋体"/>
                <w:lang w:eastAsia="zh-CN"/>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72E7B05F">
            <w:pPr>
              <w:pStyle w:val="19"/>
              <w:keepNext w:val="0"/>
              <w:keepLines w:val="0"/>
              <w:pageBreakBefore w:val="0"/>
              <w:overflowPunct/>
              <w:topLinePunct w:val="0"/>
              <w:bidi w:val="0"/>
              <w:spacing w:line="560" w:lineRule="exact"/>
              <w:ind w:left="0" w:right="0" w:rightChars="0"/>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7.4572</w:t>
            </w:r>
          </w:p>
        </w:tc>
        <w:tc>
          <w:tcPr>
            <w:tcW w:w="1215" w:type="dxa"/>
            <w:tcBorders>
              <w:top w:val="single" w:color="000000" w:sz="4" w:space="0"/>
              <w:left w:val="single" w:color="000000" w:sz="4" w:space="0"/>
              <w:bottom w:val="single" w:color="000000" w:sz="4" w:space="0"/>
              <w:right w:val="single" w:color="000000" w:sz="4" w:space="0"/>
            </w:tcBorders>
            <w:vAlign w:val="center"/>
          </w:tcPr>
          <w:p w14:paraId="539719BD">
            <w:pPr>
              <w:keepNext w:val="0"/>
              <w:keepLines w:val="0"/>
              <w:pageBreakBefore w:val="0"/>
              <w:overflowPunct/>
              <w:topLinePunct w:val="0"/>
              <w:bidi w:val="0"/>
              <w:spacing w:line="560" w:lineRule="exact"/>
              <w:ind w:left="0" w:right="0" w:rightChars="0"/>
              <w:jc w:val="center"/>
              <w:rPr>
                <w:rFonts w:hint="eastAsia" w:ascii="仿宋" w:hAnsi="仿宋" w:eastAsia="仿宋" w:cs="仿宋"/>
                <w:sz w:val="20"/>
                <w:szCs w:val="20"/>
                <w:lang w:eastAsia="zh-CN"/>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2CF2805">
            <w:pPr>
              <w:keepNext w:val="0"/>
              <w:keepLines w:val="0"/>
              <w:pageBreakBefore w:val="0"/>
              <w:overflowPunct/>
              <w:topLinePunct w:val="0"/>
              <w:bidi w:val="0"/>
              <w:spacing w:line="560" w:lineRule="exact"/>
              <w:ind w:left="0" w:right="0" w:rightChars="0"/>
              <w:jc w:val="center"/>
            </w:pPr>
            <w:r>
              <w:rPr>
                <w:rFonts w:hint="eastAsia" w:eastAsiaTheme="minorEastAsia"/>
                <w:lang w:eastAsia="zh-CN"/>
              </w:rPr>
              <w:t>100</w:t>
            </w:r>
            <w:r>
              <w:t>%</w:t>
            </w:r>
          </w:p>
        </w:tc>
      </w:tr>
    </w:tbl>
    <w:p w14:paraId="00E2DC4B">
      <w:pPr>
        <w:keepNext w:val="0"/>
        <w:keepLines w:val="0"/>
        <w:pageBreakBefore w:val="0"/>
        <w:overflowPunct/>
        <w:topLinePunct w:val="0"/>
        <w:bidi w:val="0"/>
        <w:spacing w:line="560" w:lineRule="exact"/>
        <w:ind w:left="0" w:right="0" w:rightChars="0"/>
        <w:rPr>
          <w:rFonts w:hint="eastAsia" w:ascii="仿宋" w:hAnsi="仿宋" w:eastAsia="仿宋" w:cs="仿宋"/>
          <w:color w:val="000000" w:themeColor="text1"/>
          <w:sz w:val="8"/>
          <w:szCs w:val="8"/>
          <w:lang w:eastAsia="zh-CN"/>
          <w14:textFill>
            <w14:solidFill>
              <w14:schemeClr w14:val="tx1"/>
            </w14:solidFill>
          </w14:textFill>
        </w:rPr>
      </w:pPr>
    </w:p>
    <w:bookmarkEnd w:id="18"/>
    <w:bookmarkEnd w:id="20"/>
    <w:p w14:paraId="43D9059E">
      <w:pPr>
        <w:keepNext w:val="0"/>
        <w:keepLines w:val="0"/>
        <w:pageBreakBefore w:val="0"/>
        <w:widowControl w:val="0"/>
        <w:wordWrap/>
        <w:overflowPunct/>
        <w:topLinePunct w:val="0"/>
        <w:bidi w:val="0"/>
        <w:spacing w:line="560" w:lineRule="exact"/>
        <w:ind w:left="0" w:right="0" w:rightChars="0"/>
        <w:outlineLvl w:val="2"/>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土地质量评价：</w:t>
      </w:r>
    </w:p>
    <w:p w14:paraId="0374BBD8">
      <w:pPr>
        <w:keepNext w:val="0"/>
        <w:keepLines w:val="0"/>
        <w:pageBreakBefore w:val="0"/>
        <w:widowControl w:val="0"/>
        <w:kinsoku/>
        <w:wordWrap/>
        <w:overflowPunct/>
        <w:topLinePunct w:val="0"/>
        <w:autoSpaceDE/>
        <w:autoSpaceDN/>
        <w:bidi w:val="0"/>
        <w:adjustRightInd/>
        <w:snapToGrid/>
        <w:spacing w:line="560" w:lineRule="exact"/>
        <w:ind w:left="0" w:right="0" w:rightChars="0" w:firstLine="720"/>
        <w:textAlignment w:val="auto"/>
        <w:rPr>
          <w:rFonts w:hint="default" w:ascii="Times New Roman" w:hAnsi="Times New Roman" w:eastAsia="方正仿宋_GBK" w:cs="Times New Roman"/>
          <w:b/>
          <w:bCs/>
          <w:sz w:val="32"/>
          <w:szCs w:val="32"/>
          <w:highlight w:val="none"/>
        </w:rPr>
      </w:pPr>
      <w:r>
        <w:rPr>
          <w:rFonts w:hint="default" w:ascii="Times New Roman" w:hAnsi="Times New Roman" w:eastAsia="方正仿宋_GBK" w:cs="Times New Roman"/>
          <w:snapToGrid/>
          <w:color w:val="auto"/>
          <w:spacing w:val="-5"/>
          <w:sz w:val="32"/>
          <w:szCs w:val="32"/>
          <w:lang w:eastAsia="zh-CN"/>
        </w:rPr>
        <w:t>土地质量评价：根据土地利用现状统计结果，项目区内土地为裸岩石砾地</w:t>
      </w:r>
      <w:bookmarkStart w:id="21" w:name="_Hlk228966606"/>
      <w:r>
        <w:rPr>
          <w:rFonts w:hint="default" w:ascii="Times New Roman" w:hAnsi="Times New Roman" w:eastAsia="方正仿宋_GBK" w:cs="Times New Roman"/>
          <w:snapToGrid/>
          <w:color w:val="auto"/>
          <w:spacing w:val="-5"/>
          <w:sz w:val="32"/>
          <w:szCs w:val="32"/>
          <w:lang w:eastAsia="zh-CN"/>
        </w:rPr>
        <w:t>占7</w:t>
      </w:r>
      <w:r>
        <w:rPr>
          <w:rFonts w:hint="eastAsia" w:ascii="Times New Roman" w:hAnsi="Times New Roman" w:eastAsia="方正仿宋_GBK" w:cs="Times New Roman"/>
          <w:snapToGrid/>
          <w:color w:val="auto"/>
          <w:spacing w:val="-5"/>
          <w:sz w:val="32"/>
          <w:szCs w:val="32"/>
          <w:lang w:val="en-US" w:eastAsia="zh-CN"/>
        </w:rPr>
        <w:t>6</w:t>
      </w:r>
      <w:r>
        <w:rPr>
          <w:rFonts w:hint="default" w:ascii="Times New Roman" w:hAnsi="Times New Roman" w:eastAsia="方正仿宋_GBK" w:cs="Times New Roman"/>
          <w:snapToGrid/>
          <w:color w:val="auto"/>
          <w:spacing w:val="-5"/>
          <w:sz w:val="32"/>
          <w:szCs w:val="32"/>
          <w:lang w:eastAsia="zh-CN"/>
        </w:rPr>
        <w:t>%</w:t>
      </w:r>
      <w:bookmarkEnd w:id="21"/>
      <w:r>
        <w:rPr>
          <w:rFonts w:hint="default" w:ascii="Times New Roman" w:hAnsi="Times New Roman" w:eastAsia="方正仿宋_GBK" w:cs="Times New Roman"/>
          <w:snapToGrid/>
          <w:color w:val="auto"/>
          <w:spacing w:val="-5"/>
          <w:sz w:val="32"/>
          <w:szCs w:val="32"/>
          <w:lang w:eastAsia="zh-CN"/>
        </w:rPr>
        <w:t>、天然草原</w:t>
      </w:r>
      <w:bookmarkStart w:id="22" w:name="_Hlk228966637"/>
      <w:r>
        <w:rPr>
          <w:rFonts w:hint="default" w:ascii="Times New Roman" w:hAnsi="Times New Roman" w:eastAsia="方正仿宋_GBK" w:cs="Times New Roman"/>
          <w:snapToGrid/>
          <w:color w:val="auto"/>
          <w:spacing w:val="-5"/>
          <w:sz w:val="32"/>
          <w:szCs w:val="32"/>
          <w:lang w:eastAsia="zh-CN"/>
        </w:rPr>
        <w:t>占2</w:t>
      </w:r>
      <w:r>
        <w:rPr>
          <w:rFonts w:hint="eastAsia" w:ascii="Times New Roman" w:hAnsi="Times New Roman" w:eastAsia="方正仿宋_GBK" w:cs="Times New Roman"/>
          <w:snapToGrid/>
          <w:color w:val="auto"/>
          <w:spacing w:val="-5"/>
          <w:sz w:val="32"/>
          <w:szCs w:val="32"/>
          <w:lang w:val="en-US" w:eastAsia="zh-CN"/>
        </w:rPr>
        <w:t>0</w:t>
      </w:r>
      <w:r>
        <w:rPr>
          <w:rFonts w:hint="default" w:ascii="Times New Roman" w:hAnsi="Times New Roman" w:eastAsia="方正仿宋_GBK" w:cs="Times New Roman"/>
          <w:snapToGrid/>
          <w:color w:val="auto"/>
          <w:spacing w:val="-5"/>
          <w:sz w:val="32"/>
          <w:szCs w:val="32"/>
          <w:lang w:eastAsia="zh-CN"/>
        </w:rPr>
        <w:t>%</w:t>
      </w:r>
      <w:bookmarkEnd w:id="22"/>
      <w:r>
        <w:rPr>
          <w:rFonts w:hint="default" w:ascii="Times New Roman" w:hAnsi="Times New Roman" w:eastAsia="方正仿宋_GBK" w:cs="Times New Roman"/>
          <w:snapToGrid/>
          <w:color w:val="auto"/>
          <w:spacing w:val="-5"/>
          <w:sz w:val="32"/>
          <w:szCs w:val="32"/>
          <w:lang w:eastAsia="zh-CN"/>
        </w:rPr>
        <w:t>、河流水面占</w:t>
      </w:r>
      <w:r>
        <w:rPr>
          <w:rFonts w:hint="eastAsia" w:ascii="Times New Roman" w:hAnsi="Times New Roman" w:eastAsia="方正仿宋_GBK" w:cs="Times New Roman"/>
          <w:snapToGrid/>
          <w:color w:val="auto"/>
          <w:spacing w:val="-5"/>
          <w:sz w:val="32"/>
          <w:szCs w:val="32"/>
          <w:lang w:val="en-US" w:eastAsia="zh-CN"/>
        </w:rPr>
        <w:t>4</w:t>
      </w:r>
      <w:r>
        <w:rPr>
          <w:rFonts w:hint="default" w:ascii="Times New Roman" w:hAnsi="Times New Roman" w:eastAsia="方正仿宋_GBK" w:cs="Times New Roman"/>
          <w:snapToGrid/>
          <w:color w:val="auto"/>
          <w:spacing w:val="-5"/>
          <w:sz w:val="32"/>
          <w:szCs w:val="32"/>
          <w:lang w:eastAsia="zh-CN"/>
        </w:rPr>
        <w:t>%。</w:t>
      </w:r>
    </w:p>
    <w:p w14:paraId="7BDB9895">
      <w:pPr>
        <w:keepNext w:val="0"/>
        <w:keepLines w:val="0"/>
        <w:pageBreakBefore w:val="0"/>
        <w:wordWrap/>
        <w:overflowPunct/>
        <w:topLinePunct w:val="0"/>
        <w:bidi w:val="0"/>
        <w:spacing w:line="560" w:lineRule="exact"/>
        <w:ind w:left="0" w:right="0" w:rightChars="0" w:firstLine="640" w:firstLineChars="200"/>
        <w:outlineLvl w:val="2"/>
        <w:rPr>
          <w:rFonts w:hint="default" w:ascii="方正楷体_GBK" w:hAnsi="方正楷体_GBK" w:eastAsia="方正楷体_GBK" w:cs="方正楷体_GBK"/>
          <w:sz w:val="32"/>
          <w:szCs w:val="32"/>
        </w:rPr>
      </w:pPr>
      <w:bookmarkStart w:id="23" w:name="_Toc82249319"/>
      <w:r>
        <w:rPr>
          <w:rFonts w:hint="default" w:ascii="方正楷体_GBK" w:hAnsi="方正楷体_GBK" w:eastAsia="方正楷体_GBK" w:cs="方正楷体_GBK"/>
          <w:sz w:val="32"/>
          <w:szCs w:val="32"/>
        </w:rPr>
        <w:t>1.2.3土地损毁情况</w:t>
      </w:r>
      <w:bookmarkEnd w:id="23"/>
    </w:p>
    <w:p w14:paraId="104AC521">
      <w:pPr>
        <w:keepNext w:val="0"/>
        <w:keepLines w:val="0"/>
        <w:pageBreakBefore w:val="0"/>
        <w:widowControl w:val="0"/>
        <w:kinsoku/>
        <w:overflowPunct/>
        <w:topLinePunct w:val="0"/>
        <w:bidi w:val="0"/>
        <w:snapToGrid/>
        <w:spacing w:line="560" w:lineRule="exact"/>
        <w:ind w:left="0" w:right="0" w:rightChars="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本方案临时用地面积为</w:t>
      </w:r>
      <w:r>
        <w:rPr>
          <w:rFonts w:hint="default" w:ascii="Times New Roman" w:hAnsi="Times New Roman" w:eastAsia="方正仿宋_GBK" w:cs="Times New Roman"/>
          <w:spacing w:val="3"/>
          <w:sz w:val="32"/>
          <w:szCs w:val="32"/>
          <w:lang w:val="en-US" w:eastAsia="zh-CN"/>
        </w:rPr>
        <w:t>7.4572 公顷</w:t>
      </w:r>
      <w:r>
        <w:rPr>
          <w:rFonts w:hint="eastAsia" w:ascii="Times New Roman" w:hAnsi="Times New Roman" w:eastAsia="方正仿宋_GBK" w:cs="Times New Roman"/>
          <w:spacing w:val="3"/>
          <w:sz w:val="32"/>
          <w:szCs w:val="32"/>
          <w:lang w:val="en-US" w:eastAsia="zh-CN"/>
        </w:rPr>
        <w:t>（</w:t>
      </w:r>
      <w:r>
        <w:rPr>
          <w:rFonts w:hint="default" w:ascii="Times New Roman" w:hAnsi="Times New Roman" w:eastAsia="方正仿宋_GBK" w:cs="Times New Roman"/>
          <w:spacing w:val="3"/>
          <w:sz w:val="32"/>
          <w:szCs w:val="32"/>
          <w:lang w:val="en-US" w:eastAsia="zh-CN"/>
        </w:rPr>
        <w:t>折合 111.858 亩</w:t>
      </w:r>
      <w:r>
        <w:rPr>
          <w:rFonts w:hint="eastAsia" w:ascii="Times New Roman" w:hAnsi="Times New Roman" w:eastAsia="方正仿宋_GBK" w:cs="Times New Roman"/>
          <w:spacing w:val="3"/>
          <w:sz w:val="32"/>
          <w:szCs w:val="32"/>
          <w:lang w:val="en-US" w:eastAsia="zh-CN"/>
        </w:rPr>
        <w:t>）</w:t>
      </w:r>
      <w:r>
        <w:rPr>
          <w:rFonts w:hint="default" w:ascii="Times New Roman" w:hAnsi="Times New Roman" w:eastAsia="方正仿宋_GBK" w:cs="Times New Roman"/>
          <w:sz w:val="32"/>
          <w:szCs w:val="32"/>
          <w:lang w:eastAsia="zh-CN"/>
        </w:rPr>
        <w:t>，其中包括</w:t>
      </w:r>
      <w:r>
        <w:rPr>
          <w:rFonts w:hint="default" w:ascii="Times New Roman" w:hAnsi="Times New Roman" w:eastAsia="方正仿宋_GBK" w:cs="Times New Roman"/>
          <w:sz w:val="32"/>
          <w:szCs w:val="32"/>
          <w:lang w:val="en-US" w:eastAsia="zh-CN"/>
        </w:rPr>
        <w:t>便道、设备存放、临时堆料、路基转料区、表土存放区、路桥驻地加宽、项目驻地补征</w:t>
      </w:r>
      <w:r>
        <w:rPr>
          <w:rFonts w:hint="default" w:ascii="Times New Roman" w:hAnsi="Times New Roman" w:eastAsia="方正仿宋_GBK" w:cs="Times New Roman"/>
          <w:sz w:val="32"/>
          <w:szCs w:val="32"/>
          <w:lang w:eastAsia="zh-CN"/>
        </w:rPr>
        <w:t>临时用地损毁地类为农用地中的天然草原、未利用地中的裸岩石砾地、河流水面，土地损毁形式为压占。</w:t>
      </w:r>
    </w:p>
    <w:p w14:paraId="418866C0">
      <w:pPr>
        <w:pStyle w:val="7"/>
        <w:keepNext w:val="0"/>
        <w:keepLines w:val="0"/>
        <w:pageBreakBefore w:val="0"/>
        <w:overflowPunct/>
        <w:topLinePunct w:val="0"/>
        <w:bidi w:val="0"/>
        <w:spacing w:after="0" w:line="560" w:lineRule="exact"/>
        <w:ind w:left="0" w:right="0" w:rightChars="0" w:firstLine="2169" w:firstLineChars="800"/>
        <w:rPr>
          <w:rFonts w:ascii="仿宋" w:hAnsi="仿宋" w:eastAsia="仿宋" w:cs="仿宋"/>
          <w:b/>
          <w:bCs/>
          <w:spacing w:val="-5"/>
          <w:sz w:val="28"/>
          <w:szCs w:val="28"/>
          <w:lang w:eastAsia="zh-CN"/>
        </w:rPr>
      </w:pPr>
      <w:bookmarkStart w:id="24" w:name="_Hlk228966763"/>
      <w:r>
        <w:rPr>
          <w:rFonts w:ascii="仿宋" w:hAnsi="仿宋" w:eastAsia="仿宋" w:cs="仿宋"/>
          <w:b/>
          <w:bCs/>
          <w:spacing w:val="-5"/>
          <w:sz w:val="28"/>
          <w:szCs w:val="28"/>
          <w:lang w:eastAsia="zh-CN"/>
        </w:rPr>
        <w:t>表</w:t>
      </w:r>
      <w:r>
        <w:rPr>
          <w:rFonts w:hint="eastAsia" w:cs="仿宋"/>
          <w:b/>
          <w:bCs/>
          <w:spacing w:val="-5"/>
          <w:lang w:eastAsia="zh-CN"/>
        </w:rPr>
        <w:t>7</w:t>
      </w:r>
      <w:r>
        <w:rPr>
          <w:rFonts w:ascii="仿宋" w:hAnsi="仿宋" w:eastAsia="仿宋" w:cs="仿宋"/>
          <w:b/>
          <w:bCs/>
          <w:spacing w:val="-5"/>
          <w:sz w:val="28"/>
          <w:szCs w:val="28"/>
          <w:lang w:eastAsia="zh-CN"/>
        </w:rPr>
        <w:t>-</w:t>
      </w:r>
      <w:r>
        <w:rPr>
          <w:rFonts w:hint="eastAsia" w:cs="仿宋"/>
          <w:b/>
          <w:bCs/>
          <w:spacing w:val="-5"/>
          <w:lang w:eastAsia="zh-CN"/>
        </w:rPr>
        <w:t>1</w:t>
      </w:r>
      <w:r>
        <w:rPr>
          <w:rFonts w:ascii="仿宋" w:hAnsi="仿宋" w:eastAsia="仿宋" w:cs="仿宋"/>
          <w:b/>
          <w:bCs/>
          <w:spacing w:val="-5"/>
          <w:sz w:val="28"/>
          <w:szCs w:val="28"/>
          <w:lang w:eastAsia="zh-CN"/>
        </w:rPr>
        <w:t xml:space="preserve">   土地损毁程度评价标准表</w:t>
      </w:r>
    </w:p>
    <w:tbl>
      <w:tblPr>
        <w:tblStyle w:val="13"/>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742"/>
        <w:gridCol w:w="1073"/>
        <w:gridCol w:w="2077"/>
        <w:gridCol w:w="2690"/>
      </w:tblGrid>
      <w:tr w14:paraId="5841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9" w:type="dxa"/>
            <w:vMerge w:val="restart"/>
            <w:vAlign w:val="center"/>
          </w:tcPr>
          <w:p w14:paraId="074485AA">
            <w:pPr>
              <w:pStyle w:val="7"/>
              <w:keepNext w:val="0"/>
              <w:keepLines w:val="0"/>
              <w:pageBreakBefore w:val="0"/>
              <w:overflowPunct/>
              <w:topLinePunct w:val="0"/>
              <w:bidi w:val="0"/>
              <w:spacing w:after="0" w:line="560" w:lineRule="exact"/>
              <w:ind w:left="0" w:right="0" w:rightChars="0" w:firstLine="270"/>
              <w:rPr>
                <w:rFonts w:ascii="仿宋" w:hAnsi="仿宋" w:eastAsia="仿宋" w:cs="仿宋"/>
                <w:spacing w:val="-5"/>
                <w:sz w:val="28"/>
                <w:szCs w:val="28"/>
                <w:lang w:eastAsia="zh-CN"/>
              </w:rPr>
            </w:pPr>
            <w:r>
              <w:rPr>
                <w:rFonts w:ascii="仿宋" w:hAnsi="仿宋" w:eastAsia="仿宋" w:cs="仿宋"/>
                <w:spacing w:val="-5"/>
                <w:sz w:val="28"/>
                <w:szCs w:val="28"/>
                <w:lang w:eastAsia="zh-CN"/>
              </w:rPr>
              <w:t>土</w:t>
            </w:r>
            <w:r>
              <w:rPr>
                <w:rFonts w:hint="eastAsia" w:cs="仿宋"/>
                <w:spacing w:val="-5"/>
                <w:lang w:eastAsia="zh-CN"/>
              </w:rPr>
              <w:t>土</w:t>
            </w:r>
            <w:r>
              <w:rPr>
                <w:rFonts w:ascii="仿宋" w:hAnsi="仿宋" w:eastAsia="仿宋" w:cs="仿宋"/>
                <w:spacing w:val="-5"/>
                <w:sz w:val="28"/>
                <w:szCs w:val="28"/>
                <w:lang w:eastAsia="zh-CN"/>
              </w:rPr>
              <w:t>地损毁形式</w:t>
            </w:r>
          </w:p>
        </w:tc>
        <w:tc>
          <w:tcPr>
            <w:tcW w:w="1742" w:type="dxa"/>
            <w:vMerge w:val="restart"/>
            <w:vAlign w:val="center"/>
          </w:tcPr>
          <w:p w14:paraId="6F033432">
            <w:pPr>
              <w:pStyle w:val="7"/>
              <w:keepNext w:val="0"/>
              <w:keepLines w:val="0"/>
              <w:pageBreakBefore w:val="0"/>
              <w:overflowPunct/>
              <w:topLinePunct w:val="0"/>
              <w:bidi w:val="0"/>
              <w:spacing w:after="0" w:line="560" w:lineRule="exact"/>
              <w:ind w:left="0" w:right="0" w:rightChars="0" w:firstLine="270"/>
              <w:rPr>
                <w:rFonts w:ascii="仿宋" w:hAnsi="仿宋" w:eastAsia="仿宋" w:cs="仿宋"/>
                <w:spacing w:val="-5"/>
                <w:sz w:val="28"/>
                <w:szCs w:val="28"/>
                <w:lang w:eastAsia="zh-CN"/>
              </w:rPr>
            </w:pPr>
            <w:r>
              <w:rPr>
                <w:rFonts w:ascii="仿宋" w:hAnsi="仿宋" w:eastAsia="仿宋" w:cs="仿宋"/>
                <w:spacing w:val="-5"/>
                <w:sz w:val="28"/>
                <w:szCs w:val="28"/>
                <w:lang w:eastAsia="zh-CN"/>
              </w:rPr>
              <w:t>评价因子</w:t>
            </w:r>
          </w:p>
        </w:tc>
        <w:tc>
          <w:tcPr>
            <w:tcW w:w="5840" w:type="dxa"/>
            <w:gridSpan w:val="3"/>
            <w:vAlign w:val="center"/>
          </w:tcPr>
          <w:p w14:paraId="1FE231BC">
            <w:pPr>
              <w:pStyle w:val="7"/>
              <w:keepNext w:val="0"/>
              <w:keepLines w:val="0"/>
              <w:pageBreakBefore w:val="0"/>
              <w:overflowPunct/>
              <w:topLinePunct w:val="0"/>
              <w:bidi w:val="0"/>
              <w:spacing w:after="0" w:line="560" w:lineRule="exact"/>
              <w:ind w:left="0" w:right="0" w:rightChars="0" w:firstLine="270"/>
              <w:rPr>
                <w:rFonts w:ascii="仿宋" w:hAnsi="仿宋" w:eastAsia="仿宋" w:cs="仿宋"/>
                <w:spacing w:val="-5"/>
                <w:sz w:val="28"/>
                <w:szCs w:val="28"/>
                <w:lang w:eastAsia="zh-CN"/>
              </w:rPr>
            </w:pPr>
            <w:r>
              <w:rPr>
                <w:rFonts w:ascii="仿宋" w:hAnsi="仿宋" w:eastAsia="仿宋" w:cs="仿宋"/>
                <w:spacing w:val="-5"/>
                <w:sz w:val="28"/>
                <w:szCs w:val="28"/>
                <w:lang w:eastAsia="zh-CN"/>
              </w:rPr>
              <w:t>土地损毁程度</w:t>
            </w:r>
          </w:p>
        </w:tc>
      </w:tr>
      <w:tr w14:paraId="79FA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9" w:type="dxa"/>
            <w:vMerge w:val="continue"/>
            <w:vAlign w:val="center"/>
          </w:tcPr>
          <w:p w14:paraId="4D66FD82">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p>
        </w:tc>
        <w:tc>
          <w:tcPr>
            <w:tcW w:w="1742" w:type="dxa"/>
            <w:vMerge w:val="continue"/>
            <w:vAlign w:val="center"/>
          </w:tcPr>
          <w:p w14:paraId="3302F152">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p>
        </w:tc>
        <w:tc>
          <w:tcPr>
            <w:tcW w:w="1073" w:type="dxa"/>
            <w:vAlign w:val="center"/>
          </w:tcPr>
          <w:p w14:paraId="51D066C0">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轻度</w:t>
            </w:r>
          </w:p>
        </w:tc>
        <w:tc>
          <w:tcPr>
            <w:tcW w:w="2077" w:type="dxa"/>
            <w:vAlign w:val="center"/>
          </w:tcPr>
          <w:p w14:paraId="706D3057">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中度</w:t>
            </w:r>
          </w:p>
        </w:tc>
        <w:tc>
          <w:tcPr>
            <w:tcW w:w="2690" w:type="dxa"/>
            <w:vAlign w:val="center"/>
          </w:tcPr>
          <w:p w14:paraId="49AFD198">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重度</w:t>
            </w:r>
          </w:p>
        </w:tc>
      </w:tr>
      <w:tr w14:paraId="042B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9" w:type="dxa"/>
            <w:vMerge w:val="restart"/>
            <w:vAlign w:val="center"/>
          </w:tcPr>
          <w:p w14:paraId="4B8A0747">
            <w:pPr>
              <w:keepNext w:val="0"/>
              <w:keepLines w:val="0"/>
              <w:pageBreakBefore w:val="0"/>
              <w:overflowPunct/>
              <w:topLinePunct w:val="0"/>
              <w:autoSpaceDE/>
              <w:autoSpaceDN/>
              <w:bidi w:val="0"/>
              <w:snapToGrid/>
              <w:spacing w:line="560" w:lineRule="exact"/>
              <w:ind w:left="0" w:right="0" w:rightChars="0"/>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压占、挖损</w:t>
            </w:r>
          </w:p>
        </w:tc>
        <w:tc>
          <w:tcPr>
            <w:tcW w:w="1742" w:type="dxa"/>
            <w:vAlign w:val="center"/>
          </w:tcPr>
          <w:p w14:paraId="40BA31AE">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表土层损毁厚度</w:t>
            </w:r>
          </w:p>
        </w:tc>
        <w:tc>
          <w:tcPr>
            <w:tcW w:w="1073" w:type="dxa"/>
            <w:vAlign w:val="center"/>
          </w:tcPr>
          <w:p w14:paraId="5EDD9620">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&lt;</w:t>
            </w:r>
            <w:r>
              <w:rPr>
                <w:rFonts w:ascii="仿宋" w:hAnsi="仿宋" w:eastAsia="仿宋" w:cs="仿宋"/>
                <w:spacing w:val="-5"/>
                <w:sz w:val="28"/>
                <w:szCs w:val="28"/>
                <w:lang w:eastAsia="zh-CN"/>
              </w:rPr>
              <w:t>10cm</w:t>
            </w:r>
          </w:p>
        </w:tc>
        <w:tc>
          <w:tcPr>
            <w:tcW w:w="2077" w:type="dxa"/>
            <w:vAlign w:val="center"/>
          </w:tcPr>
          <w:p w14:paraId="7E69A76A">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10-20cm</w:t>
            </w:r>
          </w:p>
        </w:tc>
        <w:tc>
          <w:tcPr>
            <w:tcW w:w="2690" w:type="dxa"/>
            <w:vAlign w:val="center"/>
          </w:tcPr>
          <w:p w14:paraId="274FD15E">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＞20cm</w:t>
            </w:r>
          </w:p>
        </w:tc>
      </w:tr>
      <w:tr w14:paraId="6AD3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9" w:type="dxa"/>
            <w:vMerge w:val="continue"/>
            <w:vAlign w:val="center"/>
          </w:tcPr>
          <w:p w14:paraId="05174DE8">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p>
        </w:tc>
        <w:tc>
          <w:tcPr>
            <w:tcW w:w="1742" w:type="dxa"/>
            <w:vAlign w:val="center"/>
          </w:tcPr>
          <w:p w14:paraId="160323F8">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坡度</w:t>
            </w:r>
          </w:p>
        </w:tc>
        <w:tc>
          <w:tcPr>
            <w:tcW w:w="1073" w:type="dxa"/>
            <w:vAlign w:val="center"/>
          </w:tcPr>
          <w:p w14:paraId="7B18E62B">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&lt;</w:t>
            </w:r>
            <w:r>
              <w:rPr>
                <w:rFonts w:ascii="仿宋" w:hAnsi="仿宋" w:eastAsia="仿宋" w:cs="仿宋"/>
                <w:spacing w:val="-5"/>
                <w:sz w:val="28"/>
                <w:szCs w:val="28"/>
                <w:lang w:eastAsia="zh-CN"/>
              </w:rPr>
              <w:t>6°</w:t>
            </w:r>
          </w:p>
        </w:tc>
        <w:tc>
          <w:tcPr>
            <w:tcW w:w="2077" w:type="dxa"/>
            <w:vAlign w:val="center"/>
          </w:tcPr>
          <w:p w14:paraId="0BA61932">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6-15°</w:t>
            </w:r>
          </w:p>
        </w:tc>
        <w:tc>
          <w:tcPr>
            <w:tcW w:w="2690" w:type="dxa"/>
            <w:vAlign w:val="center"/>
          </w:tcPr>
          <w:p w14:paraId="71D6842D">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＞15°</w:t>
            </w:r>
          </w:p>
        </w:tc>
      </w:tr>
      <w:tr w14:paraId="6EE6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9" w:type="dxa"/>
            <w:vMerge w:val="continue"/>
            <w:vAlign w:val="center"/>
          </w:tcPr>
          <w:p w14:paraId="5DEBE4E4">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p>
        </w:tc>
        <w:tc>
          <w:tcPr>
            <w:tcW w:w="1742" w:type="dxa"/>
            <w:vAlign w:val="center"/>
          </w:tcPr>
          <w:p w14:paraId="47C1BD2D">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压占物</w:t>
            </w:r>
          </w:p>
        </w:tc>
        <w:tc>
          <w:tcPr>
            <w:tcW w:w="1073" w:type="dxa"/>
            <w:vAlign w:val="center"/>
          </w:tcPr>
          <w:p w14:paraId="05365B89">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原始土壤</w:t>
            </w:r>
          </w:p>
        </w:tc>
        <w:tc>
          <w:tcPr>
            <w:tcW w:w="2077" w:type="dxa"/>
            <w:vAlign w:val="center"/>
          </w:tcPr>
          <w:p w14:paraId="591DE8B6">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原始土壤和岩石混合物</w:t>
            </w:r>
          </w:p>
        </w:tc>
        <w:tc>
          <w:tcPr>
            <w:tcW w:w="2690" w:type="dxa"/>
            <w:vAlign w:val="center"/>
          </w:tcPr>
          <w:p w14:paraId="0B7085F4">
            <w:pPr>
              <w:keepNext w:val="0"/>
              <w:keepLines w:val="0"/>
              <w:pageBreakBefore w:val="0"/>
              <w:overflowPunct/>
              <w:topLinePunct w:val="0"/>
              <w:autoSpaceDE/>
              <w:autoSpaceDN/>
              <w:bidi w:val="0"/>
              <w:snapToGrid/>
              <w:spacing w:line="560" w:lineRule="exact"/>
              <w:ind w:left="0" w:right="0" w:rightChars="0"/>
              <w:jc w:val="center"/>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岩土、砾石、建筑物、建筑垃圾</w:t>
            </w:r>
          </w:p>
        </w:tc>
      </w:tr>
    </w:tbl>
    <w:p w14:paraId="5290B011">
      <w:pPr>
        <w:keepNext w:val="0"/>
        <w:keepLines w:val="0"/>
        <w:pageBreakBefore w:val="0"/>
        <w:overflowPunct/>
        <w:topLinePunct w:val="0"/>
        <w:autoSpaceDE/>
        <w:autoSpaceDN/>
        <w:bidi w:val="0"/>
        <w:snapToGrid/>
        <w:spacing w:line="560" w:lineRule="exact"/>
        <w:ind w:left="0" w:right="0" w:rightChars="0"/>
        <w:jc w:val="left"/>
        <w:textAlignment w:val="auto"/>
        <w:rPr>
          <w:rFonts w:hint="default" w:ascii="Times New Roman" w:hAnsi="Times New Roman" w:eastAsia="方正仿宋_GBK" w:cs="Times New Roman"/>
          <w:spacing w:val="-5"/>
          <w:sz w:val="32"/>
          <w:szCs w:val="32"/>
          <w:lang w:eastAsia="zh-CN"/>
        </w:rPr>
      </w:pPr>
      <w:r>
        <w:rPr>
          <w:rFonts w:hint="eastAsia" w:ascii="仿宋" w:hAnsi="仿宋" w:eastAsia="仿宋" w:cs="仿宋"/>
          <w:spacing w:val="-5"/>
          <w:sz w:val="28"/>
          <w:szCs w:val="28"/>
          <w:lang w:eastAsia="zh-CN"/>
        </w:rPr>
        <w:t xml:space="preserve">    </w:t>
      </w:r>
      <w:r>
        <w:rPr>
          <w:rFonts w:hint="default" w:ascii="Times New Roman" w:hAnsi="Times New Roman" w:eastAsia="方正仿宋_GBK" w:cs="Times New Roman"/>
          <w:spacing w:val="-5"/>
          <w:sz w:val="32"/>
          <w:szCs w:val="32"/>
          <w:lang w:eastAsia="zh-CN"/>
        </w:rPr>
        <w:t>根据土地损毁程度评价标准表7-1，确定临时用地拟损毁土地损毁程度为中度。项目区土地损毁情况见表7-2，复垦责任范围土地损毁情况见表7-3。</w:t>
      </w:r>
    </w:p>
    <w:bookmarkEnd w:id="24"/>
    <w:p w14:paraId="0AE8949C">
      <w:pPr>
        <w:keepNext w:val="0"/>
        <w:keepLines w:val="0"/>
        <w:pageBreakBefore w:val="0"/>
        <w:overflowPunct/>
        <w:topLinePunct w:val="0"/>
        <w:bidi w:val="0"/>
        <w:spacing w:line="560" w:lineRule="exact"/>
        <w:ind w:left="0" w:right="0" w:rightChars="0"/>
        <w:jc w:val="center"/>
        <w:rPr>
          <w:rFonts w:ascii="Times New Roman" w:hAnsi="Times New Roman" w:eastAsia="黑体" w:cs="Times New Roman"/>
          <w:sz w:val="30"/>
          <w:szCs w:val="30"/>
          <w:lang w:eastAsia="zh-CN"/>
        </w:rPr>
      </w:pPr>
    </w:p>
    <w:p w14:paraId="396162AC">
      <w:pPr>
        <w:keepNext w:val="0"/>
        <w:keepLines w:val="0"/>
        <w:pageBreakBefore w:val="0"/>
        <w:overflowPunct/>
        <w:topLinePunct w:val="0"/>
        <w:bidi w:val="0"/>
        <w:spacing w:line="560" w:lineRule="exact"/>
        <w:ind w:left="0" w:right="0" w:rightChars="0"/>
        <w:jc w:val="center"/>
        <w:rPr>
          <w:rFonts w:ascii="Times New Roman" w:hAnsi="Times New Roman" w:eastAsia="黑体" w:cs="Times New Roman"/>
          <w:sz w:val="30"/>
          <w:szCs w:val="30"/>
          <w:lang w:eastAsia="zh-CN"/>
        </w:rPr>
      </w:pPr>
    </w:p>
    <w:p w14:paraId="2D37F718">
      <w:pPr>
        <w:keepNext w:val="0"/>
        <w:keepLines w:val="0"/>
        <w:pageBreakBefore w:val="0"/>
        <w:widowControl w:val="0"/>
        <w:kinsoku/>
        <w:overflowPunct/>
        <w:topLinePunct w:val="0"/>
        <w:autoSpaceDE/>
        <w:autoSpaceDN/>
        <w:bidi w:val="0"/>
        <w:adjustRightInd/>
        <w:snapToGrid/>
        <w:spacing w:line="560" w:lineRule="exact"/>
        <w:ind w:left="0" w:right="0" w:rightChars="0"/>
        <w:jc w:val="center"/>
        <w:textAlignment w:val="auto"/>
        <w:rPr>
          <w:rFonts w:ascii="Times New Roman" w:hAnsi="Times New Roman" w:eastAsia="黑体" w:cs="Times New Roman"/>
          <w:sz w:val="30"/>
          <w:szCs w:val="30"/>
          <w:lang w:eastAsia="zh-CN"/>
        </w:rPr>
      </w:pPr>
      <w:r>
        <w:rPr>
          <w:rFonts w:ascii="Times New Roman" w:hAnsi="Times New Roman" w:eastAsia="黑体" w:cs="Times New Roman"/>
          <w:sz w:val="30"/>
          <w:szCs w:val="30"/>
          <w:lang w:eastAsia="zh-CN"/>
        </w:rPr>
        <w:t>表</w:t>
      </w:r>
      <w:r>
        <w:rPr>
          <w:rFonts w:hint="eastAsia" w:ascii="Times New Roman" w:hAnsi="Times New Roman" w:eastAsia="黑体" w:cs="Times New Roman"/>
          <w:sz w:val="30"/>
          <w:szCs w:val="30"/>
          <w:lang w:eastAsia="zh-CN"/>
        </w:rPr>
        <w:t>7</w:t>
      </w:r>
      <w:r>
        <w:rPr>
          <w:rFonts w:ascii="Times New Roman" w:hAnsi="Times New Roman" w:eastAsia="黑体" w:cs="Times New Roman"/>
          <w:sz w:val="30"/>
          <w:szCs w:val="30"/>
          <w:lang w:eastAsia="zh-CN"/>
        </w:rPr>
        <w:t>-</w:t>
      </w:r>
      <w:r>
        <w:rPr>
          <w:rFonts w:hint="eastAsia" w:ascii="Times New Roman" w:hAnsi="Times New Roman" w:eastAsia="黑体" w:cs="Times New Roman"/>
          <w:sz w:val="30"/>
          <w:szCs w:val="30"/>
          <w:lang w:eastAsia="zh-CN"/>
        </w:rPr>
        <w:t>2</w:t>
      </w:r>
      <w:r>
        <w:rPr>
          <w:rFonts w:ascii="Times New Roman" w:hAnsi="Times New Roman" w:eastAsia="黑体" w:cs="Times New Roman"/>
          <w:sz w:val="30"/>
          <w:szCs w:val="30"/>
          <w:lang w:eastAsia="zh-CN"/>
        </w:rPr>
        <w:t xml:space="preserve">   项目区土地损毁情况表</w:t>
      </w:r>
    </w:p>
    <w:tbl>
      <w:tblPr>
        <w:tblStyle w:val="13"/>
        <w:tblW w:w="90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493"/>
        <w:gridCol w:w="1598"/>
        <w:gridCol w:w="1491"/>
        <w:gridCol w:w="1491"/>
        <w:gridCol w:w="1494"/>
      </w:tblGrid>
      <w:tr w14:paraId="3C082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4579" w:type="dxa"/>
            <w:gridSpan w:val="3"/>
            <w:vAlign w:val="center"/>
          </w:tcPr>
          <w:p w14:paraId="054BE31B">
            <w:pPr>
              <w:keepNext w:val="0"/>
              <w:keepLines w:val="0"/>
              <w:pageBreakBefore w:val="0"/>
              <w:overflowPunct/>
              <w:topLinePunct w:val="0"/>
              <w:bidi w:val="0"/>
              <w:spacing w:line="560" w:lineRule="exact"/>
              <w:ind w:left="0" w:right="0" w:rightChars="0"/>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lang w:eastAsia="zh-CN" w:bidi="ar"/>
              </w:rPr>
              <w:t>用地范围</w:t>
            </w:r>
          </w:p>
        </w:tc>
        <w:tc>
          <w:tcPr>
            <w:tcW w:w="1491" w:type="dxa"/>
            <w:vAlign w:val="center"/>
          </w:tcPr>
          <w:p w14:paraId="07025BCB">
            <w:pPr>
              <w:keepNext w:val="0"/>
              <w:keepLines w:val="0"/>
              <w:pageBreakBefore w:val="0"/>
              <w:overflowPunct/>
              <w:topLinePunct w:val="0"/>
              <w:bidi w:val="0"/>
              <w:spacing w:line="560" w:lineRule="exact"/>
              <w:ind w:left="0" w:right="0" w:rightChars="0"/>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lang w:eastAsia="zh-CN" w:bidi="ar"/>
              </w:rPr>
              <w:t>面积/hm</w:t>
            </w:r>
            <w:r>
              <w:rPr>
                <w:rFonts w:ascii="Times New Roman" w:hAnsi="Times New Roman" w:eastAsia="仿宋" w:cs="Times New Roman"/>
                <w:sz w:val="28"/>
                <w:szCs w:val="28"/>
                <w:vertAlign w:val="superscript"/>
                <w:lang w:eastAsia="zh-CN" w:bidi="ar"/>
              </w:rPr>
              <w:t>2</w:t>
            </w:r>
          </w:p>
        </w:tc>
        <w:tc>
          <w:tcPr>
            <w:tcW w:w="1491" w:type="dxa"/>
            <w:vAlign w:val="center"/>
          </w:tcPr>
          <w:p w14:paraId="7B27F6D9">
            <w:pPr>
              <w:keepNext w:val="0"/>
              <w:keepLines w:val="0"/>
              <w:pageBreakBefore w:val="0"/>
              <w:overflowPunct/>
              <w:topLinePunct w:val="0"/>
              <w:bidi w:val="0"/>
              <w:spacing w:line="560" w:lineRule="exact"/>
              <w:ind w:left="0" w:right="0" w:rightChars="0"/>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lang w:eastAsia="zh-CN" w:bidi="ar"/>
              </w:rPr>
              <w:t>损毁程度</w:t>
            </w:r>
          </w:p>
        </w:tc>
        <w:tc>
          <w:tcPr>
            <w:tcW w:w="1494" w:type="dxa"/>
            <w:vAlign w:val="center"/>
          </w:tcPr>
          <w:p w14:paraId="34214A0A">
            <w:pPr>
              <w:keepNext w:val="0"/>
              <w:keepLines w:val="0"/>
              <w:pageBreakBefore w:val="0"/>
              <w:overflowPunct/>
              <w:topLinePunct w:val="0"/>
              <w:bidi w:val="0"/>
              <w:spacing w:line="560" w:lineRule="exact"/>
              <w:ind w:left="0" w:right="0" w:rightChars="0"/>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lang w:eastAsia="zh-CN" w:bidi="ar"/>
              </w:rPr>
              <w:t>备注</w:t>
            </w:r>
          </w:p>
        </w:tc>
      </w:tr>
      <w:tr w14:paraId="28D6C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488" w:type="dxa"/>
            <w:shd w:val="clear" w:color="auto" w:fill="auto"/>
            <w:vAlign w:val="center"/>
          </w:tcPr>
          <w:p w14:paraId="77192BD6">
            <w:pPr>
              <w:pStyle w:val="19"/>
              <w:keepNext w:val="0"/>
              <w:keepLines w:val="0"/>
              <w:pageBreakBefore w:val="0"/>
              <w:overflowPunct/>
              <w:topLinePunct w:val="0"/>
              <w:bidi w:val="0"/>
              <w:spacing w:line="560" w:lineRule="exact"/>
              <w:ind w:left="0" w:right="0" w:rightChars="0"/>
              <w:jc w:val="left"/>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便道、设备存放、临时堆料、路基转料区、表土存放区、路桥驻地加宽、项目驻地补征</w:t>
            </w:r>
          </w:p>
        </w:tc>
        <w:tc>
          <w:tcPr>
            <w:tcW w:w="1493" w:type="dxa"/>
            <w:vAlign w:val="center"/>
          </w:tcPr>
          <w:p w14:paraId="2D032E70">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r>
              <w:rPr>
                <w:rFonts w:ascii="仿宋" w:hAnsi="仿宋" w:eastAsia="仿宋" w:cs="仿宋"/>
                <w:color w:val="auto"/>
                <w:sz w:val="20"/>
                <w:szCs w:val="20"/>
                <w:lang w:eastAsia="zh-CN"/>
              </w:rPr>
              <w:t>拟损毁</w:t>
            </w:r>
          </w:p>
        </w:tc>
        <w:tc>
          <w:tcPr>
            <w:tcW w:w="1598" w:type="dxa"/>
            <w:vAlign w:val="center"/>
          </w:tcPr>
          <w:p w14:paraId="24160A8D">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r>
              <w:rPr>
                <w:rFonts w:hint="eastAsia" w:ascii="仿宋" w:hAnsi="仿宋" w:eastAsia="仿宋" w:cs="仿宋"/>
                <w:sz w:val="20"/>
                <w:szCs w:val="20"/>
                <w:lang w:eastAsia="zh-CN"/>
              </w:rPr>
              <w:t>天然草原</w:t>
            </w:r>
          </w:p>
        </w:tc>
        <w:tc>
          <w:tcPr>
            <w:tcW w:w="1491" w:type="dxa"/>
            <w:shd w:val="clear" w:color="auto" w:fill="auto"/>
            <w:vAlign w:val="center"/>
          </w:tcPr>
          <w:p w14:paraId="31306C7A">
            <w:pPr>
              <w:pStyle w:val="19"/>
              <w:keepNext w:val="0"/>
              <w:keepLines w:val="0"/>
              <w:pageBreakBefore w:val="0"/>
              <w:overflowPunct/>
              <w:topLinePunct w:val="0"/>
              <w:bidi w:val="0"/>
              <w:spacing w:line="560" w:lineRule="exact"/>
              <w:ind w:left="0" w:right="0" w:rightChars="0"/>
              <w:rPr>
                <w:rFonts w:hint="default"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1.5085</w:t>
            </w:r>
          </w:p>
        </w:tc>
        <w:tc>
          <w:tcPr>
            <w:tcW w:w="1491" w:type="dxa"/>
            <w:vAlign w:val="center"/>
          </w:tcPr>
          <w:p w14:paraId="7811077E">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r>
              <w:rPr>
                <w:rFonts w:ascii="仿宋" w:hAnsi="仿宋" w:eastAsia="仿宋" w:cs="仿宋"/>
                <w:color w:val="auto"/>
                <w:sz w:val="20"/>
                <w:szCs w:val="20"/>
                <w:lang w:eastAsia="zh-CN"/>
              </w:rPr>
              <w:t>中度</w:t>
            </w:r>
          </w:p>
        </w:tc>
        <w:tc>
          <w:tcPr>
            <w:tcW w:w="1494" w:type="dxa"/>
            <w:vAlign w:val="center"/>
          </w:tcPr>
          <w:p w14:paraId="10E0616B">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bookmarkStart w:id="25" w:name="OLE_LINK6"/>
            <w:r>
              <w:rPr>
                <w:rFonts w:ascii="仿宋" w:hAnsi="仿宋" w:eastAsia="仿宋" w:cs="仿宋"/>
                <w:color w:val="auto"/>
                <w:sz w:val="20"/>
                <w:szCs w:val="20"/>
                <w:lang w:eastAsia="zh-CN"/>
              </w:rPr>
              <w:t>纳入复垦责任范围</w:t>
            </w:r>
            <w:bookmarkEnd w:id="25"/>
          </w:p>
        </w:tc>
      </w:tr>
      <w:tr w14:paraId="7C74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488" w:type="dxa"/>
            <w:shd w:val="clear" w:color="auto" w:fill="auto"/>
            <w:vAlign w:val="center"/>
          </w:tcPr>
          <w:p w14:paraId="5082CB77">
            <w:pPr>
              <w:pStyle w:val="19"/>
              <w:keepNext w:val="0"/>
              <w:keepLines w:val="0"/>
              <w:pageBreakBefore w:val="0"/>
              <w:overflowPunct/>
              <w:topLinePunct w:val="0"/>
              <w:bidi w:val="0"/>
              <w:spacing w:line="560" w:lineRule="exact"/>
              <w:ind w:left="0" w:right="0" w:rightChars="0"/>
              <w:jc w:val="left"/>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便道、设备存放、临时堆料、路基转料区、表土存放区、路桥驻地加宽、项目驻地补征</w:t>
            </w:r>
          </w:p>
        </w:tc>
        <w:tc>
          <w:tcPr>
            <w:tcW w:w="1493" w:type="dxa"/>
            <w:vAlign w:val="center"/>
          </w:tcPr>
          <w:p w14:paraId="1279DEF9">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color w:val="auto"/>
                <w:sz w:val="20"/>
                <w:szCs w:val="20"/>
                <w:lang w:eastAsia="zh-CN"/>
              </w:rPr>
            </w:pPr>
            <w:r>
              <w:rPr>
                <w:rFonts w:ascii="仿宋" w:hAnsi="仿宋" w:eastAsia="仿宋" w:cs="仿宋"/>
                <w:color w:val="auto"/>
                <w:sz w:val="20"/>
                <w:szCs w:val="20"/>
                <w:lang w:eastAsia="zh-CN"/>
              </w:rPr>
              <w:t>拟损毁</w:t>
            </w:r>
          </w:p>
        </w:tc>
        <w:tc>
          <w:tcPr>
            <w:tcW w:w="1598" w:type="dxa"/>
            <w:vAlign w:val="center"/>
          </w:tcPr>
          <w:p w14:paraId="4C398B78">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color w:val="auto"/>
                <w:sz w:val="20"/>
                <w:szCs w:val="20"/>
                <w:lang w:eastAsia="zh-CN"/>
              </w:rPr>
            </w:pPr>
            <w:r>
              <w:rPr>
                <w:rFonts w:hint="eastAsia" w:ascii="仿宋" w:hAnsi="仿宋" w:eastAsia="仿宋" w:cs="仿宋"/>
                <w:sz w:val="20"/>
                <w:szCs w:val="20"/>
                <w:lang w:eastAsia="zh-CN"/>
              </w:rPr>
              <w:t>裸岩石砾地</w:t>
            </w:r>
          </w:p>
        </w:tc>
        <w:tc>
          <w:tcPr>
            <w:tcW w:w="1491" w:type="dxa"/>
            <w:shd w:val="clear" w:color="auto" w:fill="auto"/>
            <w:vAlign w:val="center"/>
          </w:tcPr>
          <w:p w14:paraId="172067FA">
            <w:pPr>
              <w:pStyle w:val="19"/>
              <w:keepNext w:val="0"/>
              <w:keepLines w:val="0"/>
              <w:pageBreakBefore w:val="0"/>
              <w:overflowPunct/>
              <w:topLinePunct w:val="0"/>
              <w:bidi w:val="0"/>
              <w:spacing w:line="560" w:lineRule="exact"/>
              <w:ind w:left="0" w:right="0" w:rightChars="0"/>
              <w:rPr>
                <w:rFonts w:hint="default"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5.6732</w:t>
            </w:r>
          </w:p>
        </w:tc>
        <w:tc>
          <w:tcPr>
            <w:tcW w:w="1491" w:type="dxa"/>
            <w:vAlign w:val="center"/>
          </w:tcPr>
          <w:p w14:paraId="681A4652">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color w:val="auto"/>
                <w:sz w:val="20"/>
                <w:szCs w:val="20"/>
                <w:lang w:eastAsia="zh-CN"/>
              </w:rPr>
            </w:pPr>
            <w:r>
              <w:rPr>
                <w:rFonts w:ascii="仿宋" w:hAnsi="仿宋" w:eastAsia="仿宋" w:cs="仿宋"/>
                <w:color w:val="auto"/>
                <w:sz w:val="20"/>
                <w:szCs w:val="20"/>
                <w:lang w:eastAsia="zh-CN"/>
              </w:rPr>
              <w:t>中度</w:t>
            </w:r>
          </w:p>
        </w:tc>
        <w:tc>
          <w:tcPr>
            <w:tcW w:w="1494" w:type="dxa"/>
            <w:vAlign w:val="center"/>
          </w:tcPr>
          <w:p w14:paraId="2D20F6D4">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color w:val="auto"/>
                <w:sz w:val="20"/>
                <w:szCs w:val="20"/>
                <w:lang w:eastAsia="zh-CN"/>
              </w:rPr>
            </w:pPr>
            <w:r>
              <w:rPr>
                <w:rFonts w:ascii="仿宋" w:hAnsi="仿宋" w:eastAsia="仿宋" w:cs="仿宋"/>
                <w:color w:val="auto"/>
                <w:sz w:val="20"/>
                <w:szCs w:val="20"/>
                <w:lang w:eastAsia="zh-CN"/>
              </w:rPr>
              <w:t>纳入复垦责任范围</w:t>
            </w:r>
          </w:p>
        </w:tc>
      </w:tr>
      <w:tr w14:paraId="5E5C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488" w:type="dxa"/>
            <w:shd w:val="clear" w:color="auto" w:fill="auto"/>
            <w:vAlign w:val="center"/>
          </w:tcPr>
          <w:p w14:paraId="47AC18CA">
            <w:pPr>
              <w:pStyle w:val="19"/>
              <w:keepNext w:val="0"/>
              <w:keepLines w:val="0"/>
              <w:pageBreakBefore w:val="0"/>
              <w:overflowPunct/>
              <w:topLinePunct w:val="0"/>
              <w:bidi w:val="0"/>
              <w:spacing w:line="560" w:lineRule="exact"/>
              <w:ind w:left="0" w:right="0" w:rightChars="0"/>
              <w:jc w:val="left"/>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便道、设备存放、临时堆料、路基转料区、表土存放区、路桥驻地加宽、项目驻地补征</w:t>
            </w:r>
          </w:p>
        </w:tc>
        <w:tc>
          <w:tcPr>
            <w:tcW w:w="1493" w:type="dxa"/>
            <w:vAlign w:val="center"/>
          </w:tcPr>
          <w:p w14:paraId="446A7E2A">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color w:val="auto"/>
                <w:sz w:val="20"/>
                <w:szCs w:val="20"/>
                <w:lang w:eastAsia="zh-CN"/>
              </w:rPr>
            </w:pPr>
            <w:r>
              <w:rPr>
                <w:rFonts w:ascii="仿宋" w:hAnsi="仿宋" w:eastAsia="仿宋" w:cs="仿宋"/>
                <w:color w:val="auto"/>
                <w:sz w:val="20"/>
                <w:szCs w:val="20"/>
                <w:lang w:eastAsia="zh-CN"/>
              </w:rPr>
              <w:t>拟损毁</w:t>
            </w:r>
          </w:p>
        </w:tc>
        <w:tc>
          <w:tcPr>
            <w:tcW w:w="1598" w:type="dxa"/>
            <w:vAlign w:val="center"/>
          </w:tcPr>
          <w:p w14:paraId="536883ED">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color w:val="auto"/>
                <w:sz w:val="20"/>
                <w:szCs w:val="20"/>
                <w:lang w:eastAsia="zh-CN"/>
              </w:rPr>
            </w:pPr>
            <w:r>
              <w:rPr>
                <w:rFonts w:hint="eastAsia" w:ascii="仿宋" w:hAnsi="仿宋" w:eastAsia="仿宋" w:cs="仿宋"/>
                <w:sz w:val="20"/>
                <w:szCs w:val="20"/>
                <w:lang w:eastAsia="zh-CN"/>
              </w:rPr>
              <w:t>河流水面</w:t>
            </w:r>
          </w:p>
        </w:tc>
        <w:tc>
          <w:tcPr>
            <w:tcW w:w="1491" w:type="dxa"/>
            <w:shd w:val="clear" w:color="auto" w:fill="auto"/>
            <w:vAlign w:val="center"/>
          </w:tcPr>
          <w:p w14:paraId="5FA1DFFB">
            <w:pPr>
              <w:pStyle w:val="19"/>
              <w:keepNext w:val="0"/>
              <w:keepLines w:val="0"/>
              <w:pageBreakBefore w:val="0"/>
              <w:overflowPunct/>
              <w:topLinePunct w:val="0"/>
              <w:bidi w:val="0"/>
              <w:spacing w:line="560" w:lineRule="exact"/>
              <w:ind w:left="0" w:right="0" w:rightChars="0"/>
              <w:rPr>
                <w:rFonts w:hint="default"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rPr>
              <w:t>0.</w:t>
            </w:r>
            <w:r>
              <w:rPr>
                <w:rFonts w:hint="eastAsia" w:ascii="仿宋" w:hAnsi="仿宋" w:eastAsia="仿宋" w:cs="仿宋"/>
                <w:sz w:val="20"/>
                <w:szCs w:val="20"/>
                <w:lang w:val="en-US" w:eastAsia="zh-CN"/>
              </w:rPr>
              <w:t>2755</w:t>
            </w:r>
          </w:p>
        </w:tc>
        <w:tc>
          <w:tcPr>
            <w:tcW w:w="1491" w:type="dxa"/>
            <w:vAlign w:val="center"/>
          </w:tcPr>
          <w:p w14:paraId="6B8465A6">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color w:val="auto"/>
                <w:sz w:val="20"/>
                <w:szCs w:val="20"/>
                <w:lang w:eastAsia="zh-CN"/>
              </w:rPr>
            </w:pPr>
            <w:r>
              <w:rPr>
                <w:rFonts w:ascii="仿宋" w:hAnsi="仿宋" w:eastAsia="仿宋" w:cs="仿宋"/>
                <w:color w:val="auto"/>
                <w:sz w:val="20"/>
                <w:szCs w:val="20"/>
                <w:lang w:eastAsia="zh-CN"/>
              </w:rPr>
              <w:t>中度</w:t>
            </w:r>
          </w:p>
        </w:tc>
        <w:tc>
          <w:tcPr>
            <w:tcW w:w="1494" w:type="dxa"/>
            <w:vAlign w:val="center"/>
          </w:tcPr>
          <w:p w14:paraId="53B9EA74">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color w:val="auto"/>
                <w:sz w:val="20"/>
                <w:szCs w:val="20"/>
                <w:lang w:eastAsia="zh-CN"/>
              </w:rPr>
            </w:pPr>
            <w:r>
              <w:rPr>
                <w:rFonts w:ascii="仿宋" w:hAnsi="仿宋" w:eastAsia="仿宋" w:cs="仿宋"/>
                <w:color w:val="auto"/>
                <w:sz w:val="20"/>
                <w:szCs w:val="20"/>
                <w:lang w:eastAsia="zh-CN"/>
              </w:rPr>
              <w:t>纳入复垦责任范围</w:t>
            </w:r>
          </w:p>
        </w:tc>
      </w:tr>
      <w:tr w14:paraId="04A5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2981" w:type="dxa"/>
            <w:gridSpan w:val="2"/>
            <w:vAlign w:val="center"/>
          </w:tcPr>
          <w:p w14:paraId="2883D052">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r>
              <w:rPr>
                <w:rFonts w:ascii="仿宋" w:hAnsi="仿宋" w:eastAsia="仿宋" w:cs="仿宋"/>
                <w:color w:val="auto"/>
                <w:sz w:val="20"/>
                <w:szCs w:val="20"/>
                <w:lang w:eastAsia="zh-CN"/>
              </w:rPr>
              <w:t>合计</w:t>
            </w:r>
          </w:p>
        </w:tc>
        <w:tc>
          <w:tcPr>
            <w:tcW w:w="6074" w:type="dxa"/>
            <w:gridSpan w:val="4"/>
            <w:vAlign w:val="center"/>
          </w:tcPr>
          <w:p w14:paraId="7C7801FF">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r>
              <w:rPr>
                <w:rFonts w:hint="eastAsia" w:ascii="仿宋" w:hAnsi="仿宋" w:eastAsia="仿宋" w:cs="仿宋"/>
                <w:sz w:val="20"/>
                <w:szCs w:val="20"/>
                <w:lang w:eastAsia="zh-CN"/>
              </w:rPr>
              <w:t>7.4572</w:t>
            </w:r>
          </w:p>
        </w:tc>
      </w:tr>
    </w:tbl>
    <w:p w14:paraId="72718A74">
      <w:pPr>
        <w:keepNext w:val="0"/>
        <w:keepLines w:val="0"/>
        <w:pageBreakBefore w:val="0"/>
        <w:overflowPunct/>
        <w:topLinePunct w:val="0"/>
        <w:bidi w:val="0"/>
        <w:spacing w:line="560" w:lineRule="exact"/>
        <w:ind w:left="0" w:right="0" w:rightChars="0"/>
      </w:pPr>
    </w:p>
    <w:p w14:paraId="5D79ADEB">
      <w:pPr>
        <w:keepNext w:val="0"/>
        <w:keepLines w:val="0"/>
        <w:pageBreakBefore w:val="0"/>
        <w:widowControl w:val="0"/>
        <w:kinsoku/>
        <w:overflowPunct/>
        <w:topLinePunct w:val="0"/>
        <w:autoSpaceDE/>
        <w:autoSpaceDN/>
        <w:bidi w:val="0"/>
        <w:adjustRightInd/>
        <w:snapToGrid/>
        <w:spacing w:line="560" w:lineRule="exact"/>
        <w:ind w:left="0" w:right="0" w:rightChars="0"/>
        <w:jc w:val="center"/>
        <w:textAlignment w:val="auto"/>
        <w:rPr>
          <w:rFonts w:ascii="Times New Roman" w:hAnsi="Times New Roman" w:eastAsia="黑体" w:cs="Times New Roman"/>
          <w:lang w:eastAsia="zh-CN"/>
        </w:rPr>
      </w:pPr>
      <w:r>
        <w:rPr>
          <w:rFonts w:hint="eastAsia" w:ascii="Times New Roman" w:hAnsi="Times New Roman" w:eastAsia="黑体" w:cs="Times New Roman"/>
          <w:sz w:val="30"/>
          <w:szCs w:val="30"/>
          <w:lang w:eastAsia="zh-CN"/>
        </w:rPr>
        <w:t xml:space="preserve">  </w:t>
      </w:r>
      <w:r>
        <w:rPr>
          <w:rFonts w:ascii="Times New Roman" w:hAnsi="Times New Roman" w:eastAsia="黑体" w:cs="Times New Roman"/>
          <w:sz w:val="30"/>
          <w:szCs w:val="30"/>
          <w:lang w:eastAsia="zh-CN"/>
        </w:rPr>
        <w:t>表</w:t>
      </w:r>
      <w:r>
        <w:rPr>
          <w:rFonts w:hint="eastAsia" w:ascii="Times New Roman" w:hAnsi="Times New Roman" w:eastAsia="黑体" w:cs="Times New Roman"/>
          <w:sz w:val="30"/>
          <w:szCs w:val="30"/>
          <w:lang w:eastAsia="zh-CN"/>
        </w:rPr>
        <w:t>7</w:t>
      </w:r>
      <w:r>
        <w:rPr>
          <w:rFonts w:ascii="Times New Roman" w:hAnsi="Times New Roman" w:eastAsia="黑体" w:cs="Times New Roman"/>
          <w:sz w:val="30"/>
          <w:szCs w:val="30"/>
          <w:lang w:eastAsia="zh-CN"/>
        </w:rPr>
        <w:t>-</w:t>
      </w:r>
      <w:r>
        <w:rPr>
          <w:rFonts w:hint="eastAsia" w:ascii="Times New Roman" w:hAnsi="Times New Roman" w:eastAsia="黑体" w:cs="Times New Roman"/>
          <w:sz w:val="30"/>
          <w:szCs w:val="30"/>
          <w:lang w:eastAsia="zh-CN"/>
        </w:rPr>
        <w:t>3</w:t>
      </w:r>
      <w:r>
        <w:rPr>
          <w:rFonts w:ascii="Times New Roman" w:hAnsi="Times New Roman" w:eastAsia="黑体" w:cs="Times New Roman"/>
          <w:sz w:val="30"/>
          <w:szCs w:val="30"/>
          <w:lang w:eastAsia="zh-CN"/>
        </w:rPr>
        <w:t xml:space="preserve">   复垦责任范围土地损毁情况表</w:t>
      </w:r>
    </w:p>
    <w:p w14:paraId="02C3E410">
      <w:pPr>
        <w:keepNext w:val="0"/>
        <w:keepLines w:val="0"/>
        <w:pageBreakBefore w:val="0"/>
        <w:overflowPunct/>
        <w:topLinePunct w:val="0"/>
        <w:bidi w:val="0"/>
        <w:spacing w:line="560" w:lineRule="exact"/>
        <w:ind w:left="0" w:right="0" w:rightChars="0"/>
        <w:rPr>
          <w:lang w:eastAsia="zh-CN"/>
        </w:rPr>
      </w:pPr>
    </w:p>
    <w:tbl>
      <w:tblPr>
        <w:tblStyle w:val="13"/>
        <w:tblW w:w="9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6"/>
        <w:gridCol w:w="1442"/>
        <w:gridCol w:w="1529"/>
        <w:gridCol w:w="1377"/>
        <w:gridCol w:w="1741"/>
      </w:tblGrid>
      <w:tr w14:paraId="5BAC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966" w:type="dxa"/>
            <w:vAlign w:val="center"/>
          </w:tcPr>
          <w:p w14:paraId="14FF5410">
            <w:pPr>
              <w:keepNext w:val="0"/>
              <w:keepLines w:val="0"/>
              <w:pageBreakBefore w:val="0"/>
              <w:overflowPunct/>
              <w:topLinePunct w:val="0"/>
              <w:bidi w:val="0"/>
              <w:spacing w:line="560" w:lineRule="exact"/>
              <w:ind w:left="0" w:right="0" w:rightChars="0"/>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lang w:eastAsia="zh-CN" w:bidi="ar"/>
              </w:rPr>
              <w:t>评价单元</w:t>
            </w:r>
          </w:p>
        </w:tc>
        <w:tc>
          <w:tcPr>
            <w:tcW w:w="1442" w:type="dxa"/>
            <w:vAlign w:val="center"/>
          </w:tcPr>
          <w:p w14:paraId="596C7220">
            <w:pPr>
              <w:keepNext w:val="0"/>
              <w:keepLines w:val="0"/>
              <w:pageBreakBefore w:val="0"/>
              <w:overflowPunct/>
              <w:topLinePunct w:val="0"/>
              <w:bidi w:val="0"/>
              <w:spacing w:line="560" w:lineRule="exact"/>
              <w:ind w:left="0" w:right="0" w:rightChars="0"/>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lang w:eastAsia="zh-CN" w:bidi="ar"/>
              </w:rPr>
              <w:t>土地类型</w:t>
            </w:r>
          </w:p>
        </w:tc>
        <w:tc>
          <w:tcPr>
            <w:tcW w:w="1529" w:type="dxa"/>
            <w:vAlign w:val="center"/>
          </w:tcPr>
          <w:p w14:paraId="2AD021E9">
            <w:pPr>
              <w:keepNext w:val="0"/>
              <w:keepLines w:val="0"/>
              <w:pageBreakBefore w:val="0"/>
              <w:overflowPunct/>
              <w:topLinePunct w:val="0"/>
              <w:bidi w:val="0"/>
              <w:spacing w:line="560" w:lineRule="exact"/>
              <w:ind w:left="0" w:right="0" w:rightChars="0"/>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lang w:eastAsia="zh-CN" w:bidi="ar"/>
              </w:rPr>
              <w:t>损毁方式</w:t>
            </w:r>
          </w:p>
        </w:tc>
        <w:tc>
          <w:tcPr>
            <w:tcW w:w="1377" w:type="dxa"/>
            <w:vAlign w:val="center"/>
          </w:tcPr>
          <w:p w14:paraId="6FCE1E3D">
            <w:pPr>
              <w:keepNext w:val="0"/>
              <w:keepLines w:val="0"/>
              <w:pageBreakBefore w:val="0"/>
              <w:overflowPunct/>
              <w:topLinePunct w:val="0"/>
              <w:bidi w:val="0"/>
              <w:spacing w:line="560" w:lineRule="exact"/>
              <w:ind w:left="0" w:right="0" w:rightChars="0"/>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lang w:eastAsia="zh-CN" w:bidi="ar"/>
              </w:rPr>
              <w:t>损毁程度</w:t>
            </w:r>
          </w:p>
        </w:tc>
        <w:tc>
          <w:tcPr>
            <w:tcW w:w="1741" w:type="dxa"/>
            <w:vAlign w:val="center"/>
          </w:tcPr>
          <w:p w14:paraId="782C8437">
            <w:pPr>
              <w:keepNext w:val="0"/>
              <w:keepLines w:val="0"/>
              <w:pageBreakBefore w:val="0"/>
              <w:overflowPunct/>
              <w:topLinePunct w:val="0"/>
              <w:bidi w:val="0"/>
              <w:spacing w:line="560" w:lineRule="exact"/>
              <w:ind w:left="0" w:right="0" w:rightChars="0"/>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lang w:eastAsia="zh-CN" w:bidi="ar"/>
              </w:rPr>
              <w:t>损毁面积hm</w:t>
            </w:r>
            <w:r>
              <w:rPr>
                <w:rFonts w:ascii="Times New Roman" w:hAnsi="Times New Roman" w:eastAsia="仿宋" w:cs="Times New Roman"/>
                <w:sz w:val="28"/>
                <w:szCs w:val="28"/>
                <w:vertAlign w:val="superscript"/>
                <w:lang w:eastAsia="zh-CN" w:bidi="ar"/>
              </w:rPr>
              <w:t>2</w:t>
            </w:r>
          </w:p>
        </w:tc>
      </w:tr>
      <w:tr w14:paraId="11C8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966" w:type="dxa"/>
            <w:shd w:val="clear" w:color="auto" w:fill="auto"/>
            <w:vAlign w:val="center"/>
          </w:tcPr>
          <w:p w14:paraId="14D5751B">
            <w:pPr>
              <w:pStyle w:val="19"/>
              <w:keepNext w:val="0"/>
              <w:keepLines w:val="0"/>
              <w:pageBreakBefore w:val="0"/>
              <w:overflowPunct/>
              <w:topLinePunct w:val="0"/>
              <w:bidi w:val="0"/>
              <w:spacing w:line="560" w:lineRule="exact"/>
              <w:ind w:left="0" w:right="0" w:rightChars="0"/>
              <w:jc w:val="left"/>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便道、设备存放、临时堆料、路基转料区、表土存放区、路桥驻地加宽、项目驻地补征</w:t>
            </w:r>
          </w:p>
        </w:tc>
        <w:tc>
          <w:tcPr>
            <w:tcW w:w="1442" w:type="dxa"/>
            <w:vAlign w:val="center"/>
          </w:tcPr>
          <w:p w14:paraId="72B7BB18">
            <w:pPr>
              <w:keepNext w:val="0"/>
              <w:keepLines w:val="0"/>
              <w:pageBreakBefore w:val="0"/>
              <w:overflowPunct/>
              <w:topLinePunct w:val="0"/>
              <w:bidi w:val="0"/>
              <w:spacing w:line="560" w:lineRule="exact"/>
              <w:ind w:left="0" w:right="0" w:rightChars="0"/>
              <w:jc w:val="center"/>
              <w:rPr>
                <w:rFonts w:ascii="仿宋" w:hAnsi="仿宋" w:eastAsia="仿宋" w:cs="仿宋"/>
                <w:sz w:val="20"/>
                <w:szCs w:val="20"/>
                <w:lang w:eastAsia="zh-CN"/>
              </w:rPr>
            </w:pPr>
            <w:r>
              <w:rPr>
                <w:rFonts w:hint="eastAsia" w:ascii="仿宋" w:hAnsi="仿宋" w:eastAsia="仿宋" w:cs="仿宋"/>
                <w:sz w:val="20"/>
                <w:szCs w:val="20"/>
                <w:lang w:eastAsia="zh-CN"/>
              </w:rPr>
              <w:t>天然草原</w:t>
            </w:r>
          </w:p>
        </w:tc>
        <w:tc>
          <w:tcPr>
            <w:tcW w:w="1529" w:type="dxa"/>
            <w:vAlign w:val="center"/>
          </w:tcPr>
          <w:p w14:paraId="541C3D3E">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r>
              <w:rPr>
                <w:rFonts w:ascii="仿宋" w:hAnsi="仿宋" w:eastAsia="仿宋" w:cs="仿宋"/>
                <w:color w:val="auto"/>
                <w:sz w:val="20"/>
                <w:szCs w:val="20"/>
                <w:lang w:eastAsia="zh-CN"/>
              </w:rPr>
              <w:t>压占</w:t>
            </w:r>
          </w:p>
        </w:tc>
        <w:tc>
          <w:tcPr>
            <w:tcW w:w="1377" w:type="dxa"/>
            <w:vAlign w:val="center"/>
          </w:tcPr>
          <w:p w14:paraId="05BBD56E">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r>
              <w:rPr>
                <w:rFonts w:ascii="仿宋" w:hAnsi="仿宋" w:eastAsia="仿宋" w:cs="仿宋"/>
                <w:color w:val="auto"/>
                <w:sz w:val="20"/>
                <w:szCs w:val="20"/>
                <w:lang w:eastAsia="zh-CN"/>
              </w:rPr>
              <w:t>中度</w:t>
            </w:r>
          </w:p>
        </w:tc>
        <w:tc>
          <w:tcPr>
            <w:tcW w:w="1741" w:type="dxa"/>
            <w:shd w:val="clear" w:color="auto" w:fill="auto"/>
            <w:vAlign w:val="center"/>
          </w:tcPr>
          <w:p w14:paraId="278948D8">
            <w:pPr>
              <w:pStyle w:val="19"/>
              <w:keepNext w:val="0"/>
              <w:keepLines w:val="0"/>
              <w:pageBreakBefore w:val="0"/>
              <w:overflowPunct/>
              <w:topLinePunct w:val="0"/>
              <w:bidi w:val="0"/>
              <w:spacing w:line="560" w:lineRule="exact"/>
              <w:ind w:left="0" w:right="0" w:rightChars="0"/>
              <w:rPr>
                <w:rFonts w:hint="default"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1.5085</w:t>
            </w:r>
          </w:p>
        </w:tc>
      </w:tr>
      <w:tr w14:paraId="106F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966" w:type="dxa"/>
            <w:shd w:val="clear" w:color="auto" w:fill="auto"/>
            <w:vAlign w:val="center"/>
          </w:tcPr>
          <w:p w14:paraId="4DA1C3DB">
            <w:pPr>
              <w:pStyle w:val="19"/>
              <w:keepNext w:val="0"/>
              <w:keepLines w:val="0"/>
              <w:pageBreakBefore w:val="0"/>
              <w:overflowPunct/>
              <w:topLinePunct w:val="0"/>
              <w:bidi w:val="0"/>
              <w:spacing w:line="560" w:lineRule="exact"/>
              <w:ind w:left="0" w:right="0" w:rightChars="0"/>
              <w:jc w:val="left"/>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便道、设备存放、临时堆料、路基转料区、表土存放区、路桥驻地加宽、项目驻地补征</w:t>
            </w:r>
          </w:p>
        </w:tc>
        <w:tc>
          <w:tcPr>
            <w:tcW w:w="1442" w:type="dxa"/>
            <w:vAlign w:val="center"/>
          </w:tcPr>
          <w:p w14:paraId="3EC48101">
            <w:pPr>
              <w:keepNext w:val="0"/>
              <w:keepLines w:val="0"/>
              <w:pageBreakBefore w:val="0"/>
              <w:overflowPunct/>
              <w:topLinePunct w:val="0"/>
              <w:bidi w:val="0"/>
              <w:spacing w:line="560" w:lineRule="exact"/>
              <w:ind w:left="0" w:right="0" w:rightChars="0"/>
              <w:jc w:val="center"/>
              <w:rPr>
                <w:rFonts w:hint="eastAsia" w:ascii="仿宋" w:hAnsi="仿宋" w:eastAsia="仿宋" w:cs="仿宋"/>
                <w:color w:val="auto"/>
                <w:sz w:val="20"/>
                <w:szCs w:val="20"/>
                <w:lang w:eastAsia="zh-CN"/>
              </w:rPr>
            </w:pPr>
            <w:r>
              <w:rPr>
                <w:rFonts w:hint="eastAsia" w:ascii="仿宋" w:hAnsi="仿宋" w:eastAsia="仿宋" w:cs="仿宋"/>
                <w:sz w:val="20"/>
                <w:szCs w:val="20"/>
                <w:lang w:eastAsia="zh-CN"/>
              </w:rPr>
              <w:t>裸岩石砾地</w:t>
            </w:r>
          </w:p>
        </w:tc>
        <w:tc>
          <w:tcPr>
            <w:tcW w:w="1529" w:type="dxa"/>
          </w:tcPr>
          <w:p w14:paraId="55B70A98">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p>
          <w:p w14:paraId="1B16C53E">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color w:val="auto"/>
                <w:sz w:val="20"/>
                <w:szCs w:val="20"/>
                <w:lang w:eastAsia="zh-CN"/>
              </w:rPr>
            </w:pPr>
            <w:r>
              <w:rPr>
                <w:rFonts w:ascii="仿宋" w:hAnsi="仿宋" w:eastAsia="仿宋" w:cs="仿宋"/>
                <w:color w:val="auto"/>
                <w:sz w:val="20"/>
                <w:szCs w:val="20"/>
                <w:lang w:eastAsia="zh-CN"/>
              </w:rPr>
              <w:t>压占</w:t>
            </w:r>
          </w:p>
        </w:tc>
        <w:tc>
          <w:tcPr>
            <w:tcW w:w="1377" w:type="dxa"/>
          </w:tcPr>
          <w:p w14:paraId="365A31D7">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p>
          <w:p w14:paraId="7A58BA06">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color w:val="auto"/>
                <w:sz w:val="20"/>
                <w:szCs w:val="20"/>
                <w:lang w:eastAsia="zh-CN"/>
              </w:rPr>
            </w:pPr>
            <w:r>
              <w:rPr>
                <w:rFonts w:ascii="仿宋" w:hAnsi="仿宋" w:eastAsia="仿宋" w:cs="仿宋"/>
                <w:color w:val="auto"/>
                <w:sz w:val="20"/>
                <w:szCs w:val="20"/>
                <w:lang w:eastAsia="zh-CN"/>
              </w:rPr>
              <w:t>中度</w:t>
            </w:r>
          </w:p>
        </w:tc>
        <w:tc>
          <w:tcPr>
            <w:tcW w:w="1741" w:type="dxa"/>
            <w:shd w:val="clear" w:color="auto" w:fill="auto"/>
            <w:vAlign w:val="center"/>
          </w:tcPr>
          <w:p w14:paraId="6DBF2EF0">
            <w:pPr>
              <w:pStyle w:val="19"/>
              <w:keepNext w:val="0"/>
              <w:keepLines w:val="0"/>
              <w:pageBreakBefore w:val="0"/>
              <w:overflowPunct/>
              <w:topLinePunct w:val="0"/>
              <w:bidi w:val="0"/>
              <w:spacing w:line="560" w:lineRule="exact"/>
              <w:ind w:left="0" w:right="0" w:rightChars="0"/>
              <w:rPr>
                <w:rFonts w:hint="default"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5.6732</w:t>
            </w:r>
          </w:p>
        </w:tc>
      </w:tr>
      <w:tr w14:paraId="0903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966" w:type="dxa"/>
            <w:shd w:val="clear" w:color="auto" w:fill="auto"/>
            <w:vAlign w:val="center"/>
          </w:tcPr>
          <w:p w14:paraId="257672FD">
            <w:pPr>
              <w:pStyle w:val="19"/>
              <w:keepNext w:val="0"/>
              <w:keepLines w:val="0"/>
              <w:pageBreakBefore w:val="0"/>
              <w:overflowPunct/>
              <w:topLinePunct w:val="0"/>
              <w:bidi w:val="0"/>
              <w:spacing w:line="560" w:lineRule="exact"/>
              <w:ind w:left="0" w:right="0" w:rightChars="0"/>
              <w:jc w:val="left"/>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便道、设备存放、临时堆料、路基转料区、表土存放区、路桥驻地加宽、项目驻地补征</w:t>
            </w:r>
          </w:p>
        </w:tc>
        <w:tc>
          <w:tcPr>
            <w:tcW w:w="1442" w:type="dxa"/>
            <w:vAlign w:val="center"/>
          </w:tcPr>
          <w:p w14:paraId="581F4DE3">
            <w:pPr>
              <w:keepNext w:val="0"/>
              <w:keepLines w:val="0"/>
              <w:pageBreakBefore w:val="0"/>
              <w:overflowPunct/>
              <w:topLinePunct w:val="0"/>
              <w:bidi w:val="0"/>
              <w:spacing w:line="560" w:lineRule="exact"/>
              <w:ind w:left="0" w:right="0" w:rightChars="0"/>
              <w:jc w:val="center"/>
              <w:rPr>
                <w:rFonts w:hint="eastAsia" w:ascii="仿宋" w:hAnsi="仿宋" w:eastAsia="仿宋" w:cs="仿宋"/>
                <w:color w:val="auto"/>
                <w:sz w:val="20"/>
                <w:szCs w:val="20"/>
                <w:lang w:eastAsia="zh-CN"/>
              </w:rPr>
            </w:pPr>
            <w:r>
              <w:rPr>
                <w:rFonts w:hint="eastAsia" w:ascii="仿宋" w:hAnsi="仿宋" w:eastAsia="仿宋" w:cs="仿宋"/>
                <w:sz w:val="20"/>
                <w:szCs w:val="20"/>
                <w:lang w:eastAsia="zh-CN"/>
              </w:rPr>
              <w:t>河流水面</w:t>
            </w:r>
          </w:p>
        </w:tc>
        <w:tc>
          <w:tcPr>
            <w:tcW w:w="1529" w:type="dxa"/>
          </w:tcPr>
          <w:p w14:paraId="48F79275">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color w:val="auto"/>
                <w:sz w:val="20"/>
                <w:szCs w:val="20"/>
                <w:lang w:eastAsia="zh-CN"/>
              </w:rPr>
            </w:pPr>
            <w:r>
              <w:rPr>
                <w:rFonts w:ascii="仿宋" w:hAnsi="仿宋" w:eastAsia="仿宋" w:cs="仿宋"/>
                <w:color w:val="auto"/>
                <w:sz w:val="20"/>
                <w:szCs w:val="20"/>
                <w:lang w:eastAsia="zh-CN"/>
              </w:rPr>
              <w:t>压占</w:t>
            </w:r>
          </w:p>
        </w:tc>
        <w:tc>
          <w:tcPr>
            <w:tcW w:w="1377" w:type="dxa"/>
          </w:tcPr>
          <w:p w14:paraId="5EE1337F">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color w:val="auto"/>
                <w:sz w:val="20"/>
                <w:szCs w:val="20"/>
                <w:lang w:eastAsia="zh-CN"/>
              </w:rPr>
            </w:pPr>
            <w:r>
              <w:rPr>
                <w:rFonts w:ascii="仿宋" w:hAnsi="仿宋" w:eastAsia="仿宋" w:cs="仿宋"/>
                <w:color w:val="auto"/>
                <w:sz w:val="20"/>
                <w:szCs w:val="20"/>
                <w:lang w:eastAsia="zh-CN"/>
              </w:rPr>
              <w:t>中度</w:t>
            </w:r>
          </w:p>
        </w:tc>
        <w:tc>
          <w:tcPr>
            <w:tcW w:w="1741" w:type="dxa"/>
            <w:shd w:val="clear" w:color="auto" w:fill="auto"/>
            <w:vAlign w:val="center"/>
          </w:tcPr>
          <w:p w14:paraId="43BDD3AA">
            <w:pPr>
              <w:pStyle w:val="19"/>
              <w:keepNext w:val="0"/>
              <w:keepLines w:val="0"/>
              <w:pageBreakBefore w:val="0"/>
              <w:overflowPunct/>
              <w:topLinePunct w:val="0"/>
              <w:bidi w:val="0"/>
              <w:spacing w:line="560" w:lineRule="exact"/>
              <w:ind w:left="0" w:right="0" w:rightChars="0"/>
              <w:rPr>
                <w:rFonts w:hint="default"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rPr>
              <w:t>0.</w:t>
            </w:r>
            <w:r>
              <w:rPr>
                <w:rFonts w:hint="eastAsia" w:ascii="仿宋" w:hAnsi="仿宋" w:eastAsia="仿宋" w:cs="仿宋"/>
                <w:sz w:val="20"/>
                <w:szCs w:val="20"/>
                <w:lang w:val="en-US" w:eastAsia="zh-CN"/>
              </w:rPr>
              <w:t>2755</w:t>
            </w:r>
          </w:p>
        </w:tc>
      </w:tr>
      <w:tr w14:paraId="415F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966" w:type="dxa"/>
            <w:vAlign w:val="center"/>
          </w:tcPr>
          <w:p w14:paraId="0F445D38">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r>
              <w:rPr>
                <w:rFonts w:ascii="仿宋" w:hAnsi="仿宋" w:eastAsia="仿宋" w:cs="仿宋"/>
                <w:color w:val="auto"/>
                <w:sz w:val="20"/>
                <w:szCs w:val="20"/>
                <w:lang w:eastAsia="zh-CN"/>
              </w:rPr>
              <w:t>合计</w:t>
            </w:r>
          </w:p>
        </w:tc>
        <w:tc>
          <w:tcPr>
            <w:tcW w:w="1442" w:type="dxa"/>
            <w:vAlign w:val="center"/>
          </w:tcPr>
          <w:p w14:paraId="3E0D5717">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r>
              <w:rPr>
                <w:rFonts w:ascii="仿宋" w:hAnsi="仿宋" w:eastAsia="仿宋" w:cs="仿宋"/>
                <w:color w:val="auto"/>
                <w:sz w:val="20"/>
                <w:szCs w:val="20"/>
                <w:lang w:eastAsia="zh-CN"/>
              </w:rPr>
              <w:t>—</w:t>
            </w:r>
          </w:p>
        </w:tc>
        <w:tc>
          <w:tcPr>
            <w:tcW w:w="1529" w:type="dxa"/>
            <w:vAlign w:val="center"/>
          </w:tcPr>
          <w:p w14:paraId="66ADAD28">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r>
              <w:rPr>
                <w:rFonts w:ascii="仿宋" w:hAnsi="仿宋" w:eastAsia="仿宋" w:cs="仿宋"/>
                <w:color w:val="auto"/>
                <w:sz w:val="20"/>
                <w:szCs w:val="20"/>
                <w:lang w:eastAsia="zh-CN"/>
              </w:rPr>
              <w:t>—</w:t>
            </w:r>
          </w:p>
        </w:tc>
        <w:tc>
          <w:tcPr>
            <w:tcW w:w="1377" w:type="dxa"/>
            <w:vAlign w:val="center"/>
          </w:tcPr>
          <w:p w14:paraId="66C3A62C">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r>
              <w:rPr>
                <w:rFonts w:ascii="仿宋" w:hAnsi="仿宋" w:eastAsia="仿宋" w:cs="仿宋"/>
                <w:color w:val="auto"/>
                <w:sz w:val="20"/>
                <w:szCs w:val="20"/>
                <w:lang w:eastAsia="zh-CN"/>
              </w:rPr>
              <w:t>—</w:t>
            </w:r>
          </w:p>
        </w:tc>
        <w:tc>
          <w:tcPr>
            <w:tcW w:w="1741" w:type="dxa"/>
            <w:vAlign w:val="center"/>
          </w:tcPr>
          <w:p w14:paraId="4ED1FC68">
            <w:pPr>
              <w:keepNext w:val="0"/>
              <w:keepLines w:val="0"/>
              <w:pageBreakBefore w:val="0"/>
              <w:overflowPunct/>
              <w:topLinePunct w:val="0"/>
              <w:bidi w:val="0"/>
              <w:spacing w:line="560" w:lineRule="exact"/>
              <w:ind w:left="0" w:right="0" w:rightChars="0"/>
              <w:jc w:val="center"/>
              <w:rPr>
                <w:rFonts w:ascii="仿宋" w:hAnsi="仿宋" w:eastAsia="仿宋" w:cs="仿宋"/>
                <w:sz w:val="20"/>
                <w:szCs w:val="20"/>
                <w:lang w:eastAsia="zh-CN"/>
              </w:rPr>
            </w:pPr>
            <w:r>
              <w:rPr>
                <w:rFonts w:hint="eastAsia" w:ascii="仿宋" w:hAnsi="仿宋" w:eastAsia="仿宋" w:cs="仿宋"/>
                <w:sz w:val="20"/>
                <w:szCs w:val="20"/>
                <w:lang w:eastAsia="zh-CN"/>
              </w:rPr>
              <w:t>7.4572</w:t>
            </w:r>
          </w:p>
        </w:tc>
      </w:tr>
    </w:tbl>
    <w:p w14:paraId="19488D46">
      <w:pPr>
        <w:keepNext w:val="0"/>
        <w:keepLines w:val="0"/>
        <w:pageBreakBefore w:val="0"/>
        <w:wordWrap/>
        <w:overflowPunct/>
        <w:topLinePunct w:val="0"/>
        <w:bidi w:val="0"/>
        <w:adjustRightInd w:val="0"/>
        <w:spacing w:line="560" w:lineRule="exact"/>
        <w:ind w:left="0" w:right="0" w:rightChars="0" w:firstLine="640" w:firstLineChars="200"/>
        <w:rPr>
          <w:rFonts w:hint="default" w:ascii="Times New Roman" w:hAnsi="Times New Roman" w:eastAsia="方正黑体_GBK" w:cs="Times New Roman"/>
          <w:b w:val="0"/>
          <w:bCs w:val="0"/>
          <w:snapToGrid w:val="0"/>
          <w:color w:val="000000"/>
          <w:kern w:val="0"/>
          <w:sz w:val="32"/>
          <w:szCs w:val="32"/>
          <w:lang w:val="en-US" w:eastAsia="zh-CN" w:bidi="ar-SA"/>
        </w:rPr>
      </w:pPr>
      <w:r>
        <w:rPr>
          <w:rFonts w:hint="default" w:ascii="Times New Roman" w:hAnsi="Times New Roman" w:eastAsia="方正黑体_GBK" w:cs="Times New Roman"/>
          <w:b w:val="0"/>
          <w:bCs w:val="0"/>
          <w:snapToGrid w:val="0"/>
          <w:color w:val="000000"/>
          <w:kern w:val="0"/>
          <w:sz w:val="32"/>
          <w:szCs w:val="32"/>
          <w:lang w:val="en-US" w:eastAsia="zh-CN" w:bidi="ar-SA"/>
        </w:rPr>
        <w:t>1.2.4土地复垦目标</w:t>
      </w:r>
    </w:p>
    <w:p w14:paraId="03A0DE9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rightChars="0" w:firstLine="620" w:firstLineChars="200"/>
        <w:textAlignment w:val="baseline"/>
        <w:rPr>
          <w:rFonts w:hint="default" w:ascii="Times New Roman" w:hAnsi="Times New Roman" w:eastAsia="方正仿宋_GBK" w:cs="Times New Roman"/>
          <w:spacing w:val="-5"/>
          <w:sz w:val="32"/>
          <w:szCs w:val="32"/>
          <w:lang w:eastAsia="zh-CN"/>
        </w:rPr>
      </w:pPr>
      <w:r>
        <w:rPr>
          <w:rFonts w:hint="default" w:ascii="Times New Roman" w:hAnsi="Times New Roman" w:eastAsia="方正仿宋_GBK" w:cs="Times New Roman"/>
          <w:spacing w:val="-5"/>
          <w:sz w:val="32"/>
          <w:szCs w:val="32"/>
          <w:lang w:eastAsia="zh-CN"/>
        </w:rPr>
        <w:t>在尽量确保复垦方向与</w:t>
      </w:r>
      <w:r>
        <w:rPr>
          <w:rFonts w:hint="eastAsia" w:ascii="Times New Roman" w:hAnsi="Times New Roman" w:eastAsia="方正仿宋_GBK" w:cs="Times New Roman"/>
          <w:spacing w:val="-5"/>
          <w:sz w:val="32"/>
          <w:szCs w:val="32"/>
          <w:lang w:val="en-US" w:eastAsia="zh-CN"/>
        </w:rPr>
        <w:t>国土空间</w:t>
      </w:r>
      <w:r>
        <w:rPr>
          <w:rFonts w:hint="default" w:ascii="Times New Roman" w:hAnsi="Times New Roman" w:eastAsia="方正仿宋_GBK" w:cs="Times New Roman"/>
          <w:spacing w:val="-5"/>
          <w:sz w:val="32"/>
          <w:szCs w:val="32"/>
          <w:lang w:eastAsia="zh-CN"/>
        </w:rPr>
        <w:t>总体规划、周边景观保持一致的情况下，根据土地复垦适宜性评价结果，结合项目区自然环境特征，确定项目区最终的土地复垦方向、复垦面积及土地复垦率。本方案土地复垦目标为恢复原有地类，本方案复垦区责任范围面积</w:t>
      </w:r>
      <w:bookmarkStart w:id="26" w:name="_Hlk228968888"/>
      <w:r>
        <w:rPr>
          <w:rFonts w:hint="eastAsia" w:ascii="Times New Roman" w:hAnsi="Times New Roman" w:eastAsia="方正仿宋_GBK" w:cs="Times New Roman"/>
          <w:spacing w:val="-5"/>
          <w:sz w:val="32"/>
          <w:szCs w:val="32"/>
          <w:lang w:eastAsia="zh-CN"/>
        </w:rPr>
        <w:t>7.4572</w:t>
      </w:r>
      <w:r>
        <w:rPr>
          <w:rFonts w:hint="default" w:ascii="Times New Roman" w:hAnsi="Times New Roman" w:eastAsia="方正仿宋_GBK" w:cs="Times New Roman"/>
          <w:kern w:val="0"/>
          <w:sz w:val="32"/>
          <w:szCs w:val="32"/>
          <w:lang w:val="en-US" w:eastAsia="zh-CN" w:bidi="ar-SA"/>
        </w:rPr>
        <w:t>公顷</w:t>
      </w:r>
      <w:r>
        <w:rPr>
          <w:rFonts w:hint="default" w:ascii="Times New Roman" w:hAnsi="Times New Roman" w:eastAsia="方正仿宋_GBK" w:cs="Times New Roman"/>
          <w:spacing w:val="-5"/>
          <w:sz w:val="32"/>
          <w:szCs w:val="32"/>
          <w:lang w:eastAsia="zh-CN"/>
        </w:rPr>
        <w:t>（</w:t>
      </w:r>
      <w:r>
        <w:rPr>
          <w:rFonts w:hint="eastAsia" w:ascii="Times New Roman" w:hAnsi="Times New Roman" w:eastAsia="方正仿宋_GBK" w:cs="Times New Roman"/>
          <w:spacing w:val="-5"/>
          <w:sz w:val="32"/>
          <w:szCs w:val="32"/>
          <w:lang w:val="en-US" w:eastAsia="zh-CN"/>
        </w:rPr>
        <w:t>折合</w:t>
      </w:r>
      <w:r>
        <w:rPr>
          <w:rFonts w:hint="eastAsia" w:ascii="Times New Roman" w:hAnsi="Times New Roman" w:eastAsia="方正仿宋_GBK" w:cs="Times New Roman"/>
          <w:spacing w:val="-5"/>
          <w:sz w:val="32"/>
          <w:szCs w:val="32"/>
          <w:lang w:eastAsia="zh-CN"/>
        </w:rPr>
        <w:t>111.858</w:t>
      </w:r>
      <w:r>
        <w:rPr>
          <w:rFonts w:hint="default" w:ascii="Times New Roman" w:hAnsi="Times New Roman" w:eastAsia="方正仿宋_GBK" w:cs="Times New Roman"/>
          <w:spacing w:val="-5"/>
          <w:sz w:val="32"/>
          <w:szCs w:val="32"/>
          <w:lang w:eastAsia="zh-CN"/>
        </w:rPr>
        <w:t>亩）</w:t>
      </w:r>
      <w:bookmarkEnd w:id="26"/>
      <w:r>
        <w:rPr>
          <w:rFonts w:hint="default" w:ascii="Times New Roman" w:hAnsi="Times New Roman" w:eastAsia="方正仿宋_GBK" w:cs="Times New Roman"/>
          <w:spacing w:val="-5"/>
          <w:sz w:val="32"/>
          <w:szCs w:val="32"/>
          <w:lang w:eastAsia="zh-CN"/>
        </w:rPr>
        <w:t>，拟复垦面积</w:t>
      </w:r>
      <w:r>
        <w:rPr>
          <w:rFonts w:hint="eastAsia" w:ascii="Times New Roman" w:hAnsi="Times New Roman" w:eastAsia="方正仿宋_GBK" w:cs="Times New Roman"/>
          <w:spacing w:val="-5"/>
          <w:sz w:val="32"/>
          <w:szCs w:val="32"/>
          <w:lang w:eastAsia="zh-CN"/>
        </w:rPr>
        <w:t>7.4572</w:t>
      </w:r>
      <w:r>
        <w:rPr>
          <w:rFonts w:hint="default" w:ascii="Times New Roman" w:hAnsi="Times New Roman" w:eastAsia="方正仿宋_GBK" w:cs="Times New Roman"/>
          <w:kern w:val="0"/>
          <w:sz w:val="32"/>
          <w:szCs w:val="32"/>
          <w:lang w:val="en-US" w:eastAsia="zh-CN" w:bidi="ar-SA"/>
        </w:rPr>
        <w:t>公顷</w:t>
      </w:r>
      <w:r>
        <w:rPr>
          <w:rFonts w:hint="default" w:ascii="Times New Roman" w:hAnsi="Times New Roman" w:eastAsia="方正仿宋_GBK" w:cs="Times New Roman"/>
          <w:spacing w:val="-5"/>
          <w:sz w:val="32"/>
          <w:szCs w:val="32"/>
          <w:lang w:eastAsia="zh-CN"/>
        </w:rPr>
        <w:t>（</w:t>
      </w:r>
      <w:r>
        <w:rPr>
          <w:rFonts w:hint="eastAsia" w:ascii="Times New Roman" w:hAnsi="Times New Roman" w:eastAsia="方正仿宋_GBK" w:cs="Times New Roman"/>
          <w:spacing w:val="-5"/>
          <w:sz w:val="32"/>
          <w:szCs w:val="32"/>
          <w:lang w:val="en-US" w:eastAsia="zh-CN"/>
        </w:rPr>
        <w:t>折合</w:t>
      </w:r>
      <w:r>
        <w:rPr>
          <w:rFonts w:hint="eastAsia" w:ascii="Times New Roman" w:hAnsi="Times New Roman" w:eastAsia="方正仿宋_GBK" w:cs="Times New Roman"/>
          <w:spacing w:val="-5"/>
          <w:sz w:val="32"/>
          <w:szCs w:val="32"/>
          <w:lang w:eastAsia="zh-CN"/>
        </w:rPr>
        <w:t>111.858</w:t>
      </w:r>
      <w:r>
        <w:rPr>
          <w:rFonts w:hint="default" w:ascii="Times New Roman" w:hAnsi="Times New Roman" w:eastAsia="方正仿宋_GBK" w:cs="Times New Roman"/>
          <w:spacing w:val="-5"/>
          <w:sz w:val="32"/>
          <w:szCs w:val="32"/>
          <w:lang w:eastAsia="zh-CN"/>
        </w:rPr>
        <w:t>亩），土地复垦率为100%。本方案复垦前后土地利用结构调整表见7-4。</w:t>
      </w:r>
    </w:p>
    <w:p w14:paraId="5E6E6B29">
      <w:pPr>
        <w:keepNext w:val="0"/>
        <w:keepLines w:val="0"/>
        <w:pageBreakBefore w:val="0"/>
        <w:overflowPunct/>
        <w:topLinePunct w:val="0"/>
        <w:bidi w:val="0"/>
        <w:spacing w:line="560" w:lineRule="exact"/>
        <w:ind w:left="0" w:right="0" w:rightChars="0"/>
        <w:jc w:val="center"/>
        <w:rPr>
          <w:rFonts w:ascii="Times New Roman" w:hAnsi="Times New Roman" w:eastAsia="黑体" w:cs="Times New Roman"/>
          <w:sz w:val="30"/>
          <w:szCs w:val="30"/>
          <w:lang w:eastAsia="zh-CN"/>
        </w:rPr>
      </w:pPr>
      <w:r>
        <w:rPr>
          <w:rFonts w:ascii="Times New Roman" w:hAnsi="Times New Roman" w:eastAsia="黑体" w:cs="Times New Roman"/>
          <w:sz w:val="30"/>
          <w:szCs w:val="30"/>
          <w:lang w:eastAsia="zh-CN"/>
        </w:rPr>
        <w:t>表</w:t>
      </w:r>
      <w:r>
        <w:rPr>
          <w:rFonts w:hint="eastAsia" w:ascii="Times New Roman" w:hAnsi="Times New Roman" w:eastAsia="黑体" w:cs="Times New Roman"/>
          <w:sz w:val="30"/>
          <w:szCs w:val="30"/>
          <w:lang w:eastAsia="zh-CN"/>
        </w:rPr>
        <w:t>7</w:t>
      </w:r>
      <w:r>
        <w:rPr>
          <w:rFonts w:ascii="Times New Roman" w:hAnsi="Times New Roman" w:eastAsia="黑体" w:cs="Times New Roman"/>
          <w:sz w:val="30"/>
          <w:szCs w:val="30"/>
          <w:lang w:eastAsia="zh-CN"/>
        </w:rPr>
        <w:t>-</w:t>
      </w:r>
      <w:r>
        <w:rPr>
          <w:rFonts w:hint="eastAsia" w:ascii="Times New Roman" w:hAnsi="Times New Roman" w:eastAsia="黑体" w:cs="Times New Roman"/>
          <w:sz w:val="30"/>
          <w:szCs w:val="30"/>
          <w:lang w:eastAsia="zh-CN"/>
        </w:rPr>
        <w:t>4</w:t>
      </w:r>
      <w:r>
        <w:rPr>
          <w:rFonts w:ascii="Times New Roman" w:hAnsi="Times New Roman" w:eastAsia="黑体" w:cs="Times New Roman"/>
          <w:sz w:val="30"/>
          <w:szCs w:val="30"/>
          <w:lang w:eastAsia="zh-CN"/>
        </w:rPr>
        <w:t xml:space="preserve">   复垦前后土地利用结构调整表</w:t>
      </w:r>
    </w:p>
    <w:tbl>
      <w:tblPr>
        <w:tblStyle w:val="13"/>
        <w:tblW w:w="855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615"/>
        <w:gridCol w:w="1936"/>
        <w:gridCol w:w="1855"/>
        <w:gridCol w:w="1856"/>
        <w:gridCol w:w="1295"/>
      </w:tblGrid>
      <w:tr w14:paraId="42CF2A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57" w:hRule="atLeast"/>
          <w:jc w:val="center"/>
        </w:trPr>
        <w:tc>
          <w:tcPr>
            <w:tcW w:w="1615" w:type="dxa"/>
            <w:vAlign w:val="center"/>
          </w:tcPr>
          <w:p w14:paraId="4506D83A">
            <w:pPr>
              <w:keepNext w:val="0"/>
              <w:keepLines w:val="0"/>
              <w:pageBreakBefore w:val="0"/>
              <w:overflowPunct/>
              <w:topLinePunct w:val="0"/>
              <w:bidi w:val="0"/>
              <w:spacing w:line="560" w:lineRule="exact"/>
              <w:ind w:left="0" w:right="0" w:rightChars="0"/>
              <w:jc w:val="center"/>
              <w:rPr>
                <w:rFonts w:ascii="Times New Roman" w:hAnsi="Times New Roman" w:eastAsia="仿宋" w:cs="Times New Roman"/>
                <w:sz w:val="28"/>
                <w:szCs w:val="28"/>
              </w:rPr>
            </w:pPr>
            <w:r>
              <w:rPr>
                <w:rFonts w:ascii="Times New Roman" w:hAnsi="Times New Roman" w:eastAsia="仿宋" w:cs="Times New Roman"/>
                <w:sz w:val="28"/>
                <w:szCs w:val="28"/>
                <w:lang w:eastAsia="zh-CN" w:bidi="ar"/>
              </w:rPr>
              <w:t>评价单元</w:t>
            </w:r>
          </w:p>
        </w:tc>
        <w:tc>
          <w:tcPr>
            <w:tcW w:w="1936" w:type="dxa"/>
            <w:vAlign w:val="center"/>
          </w:tcPr>
          <w:p w14:paraId="791995F2">
            <w:pPr>
              <w:keepNext w:val="0"/>
              <w:keepLines w:val="0"/>
              <w:pageBreakBefore w:val="0"/>
              <w:overflowPunct/>
              <w:topLinePunct w:val="0"/>
              <w:bidi w:val="0"/>
              <w:spacing w:line="560" w:lineRule="exact"/>
              <w:ind w:left="0" w:right="0" w:rightChars="0"/>
              <w:jc w:val="center"/>
              <w:rPr>
                <w:rFonts w:ascii="Times New Roman" w:hAnsi="Times New Roman" w:eastAsia="仿宋" w:cs="Times New Roman"/>
                <w:sz w:val="28"/>
                <w:szCs w:val="28"/>
              </w:rPr>
            </w:pPr>
            <w:r>
              <w:rPr>
                <w:rFonts w:ascii="Times New Roman" w:hAnsi="Times New Roman" w:eastAsia="仿宋" w:cs="Times New Roman"/>
                <w:sz w:val="28"/>
                <w:szCs w:val="28"/>
                <w:lang w:eastAsia="zh-CN" w:bidi="ar"/>
              </w:rPr>
              <w:t>土地类型</w:t>
            </w:r>
          </w:p>
        </w:tc>
        <w:tc>
          <w:tcPr>
            <w:tcW w:w="1855" w:type="dxa"/>
            <w:vAlign w:val="center"/>
          </w:tcPr>
          <w:p w14:paraId="2D31CCCB">
            <w:pPr>
              <w:keepNext w:val="0"/>
              <w:keepLines w:val="0"/>
              <w:pageBreakBefore w:val="0"/>
              <w:overflowPunct/>
              <w:topLinePunct w:val="0"/>
              <w:bidi w:val="0"/>
              <w:spacing w:line="560" w:lineRule="exact"/>
              <w:ind w:left="0" w:right="0" w:rightChars="0"/>
              <w:jc w:val="center"/>
              <w:rPr>
                <w:rFonts w:ascii="Times New Roman" w:hAnsi="Times New Roman" w:eastAsia="仿宋" w:cs="Times New Roman"/>
                <w:sz w:val="28"/>
                <w:szCs w:val="28"/>
              </w:rPr>
            </w:pPr>
            <w:r>
              <w:rPr>
                <w:rFonts w:ascii="Times New Roman" w:hAnsi="Times New Roman" w:eastAsia="仿宋" w:cs="Times New Roman"/>
                <w:sz w:val="28"/>
                <w:szCs w:val="28"/>
              </w:rPr>
              <w:t>复垦前/hm</w:t>
            </w:r>
            <w:r>
              <w:rPr>
                <w:rFonts w:ascii="Times New Roman" w:hAnsi="Times New Roman" w:eastAsia="仿宋" w:cs="Times New Roman"/>
                <w:sz w:val="28"/>
                <w:szCs w:val="28"/>
                <w:vertAlign w:val="superscript"/>
              </w:rPr>
              <w:t>2</w:t>
            </w:r>
          </w:p>
        </w:tc>
        <w:tc>
          <w:tcPr>
            <w:tcW w:w="1856" w:type="dxa"/>
            <w:vAlign w:val="center"/>
          </w:tcPr>
          <w:p w14:paraId="34B687F3">
            <w:pPr>
              <w:keepNext w:val="0"/>
              <w:keepLines w:val="0"/>
              <w:pageBreakBefore w:val="0"/>
              <w:overflowPunct/>
              <w:topLinePunct w:val="0"/>
              <w:bidi w:val="0"/>
              <w:spacing w:line="560" w:lineRule="exact"/>
              <w:ind w:left="0" w:right="0" w:rightChars="0"/>
              <w:jc w:val="center"/>
              <w:rPr>
                <w:rFonts w:ascii="Times New Roman" w:hAnsi="Times New Roman" w:eastAsia="仿宋" w:cs="Times New Roman"/>
                <w:sz w:val="28"/>
                <w:szCs w:val="28"/>
              </w:rPr>
            </w:pPr>
            <w:r>
              <w:rPr>
                <w:rFonts w:ascii="Times New Roman" w:hAnsi="Times New Roman" w:eastAsia="仿宋" w:cs="Times New Roman"/>
                <w:sz w:val="28"/>
                <w:szCs w:val="28"/>
              </w:rPr>
              <w:t>复垦后/hm</w:t>
            </w:r>
            <w:r>
              <w:rPr>
                <w:rFonts w:ascii="Times New Roman" w:hAnsi="Times New Roman" w:eastAsia="仿宋" w:cs="Times New Roman"/>
                <w:sz w:val="28"/>
                <w:szCs w:val="28"/>
                <w:vertAlign w:val="superscript"/>
              </w:rPr>
              <w:t>2</w:t>
            </w:r>
          </w:p>
        </w:tc>
        <w:tc>
          <w:tcPr>
            <w:tcW w:w="1295" w:type="dxa"/>
            <w:vAlign w:val="center"/>
          </w:tcPr>
          <w:p w14:paraId="3F8FCE5C">
            <w:pPr>
              <w:keepNext w:val="0"/>
              <w:keepLines w:val="0"/>
              <w:pageBreakBefore w:val="0"/>
              <w:overflowPunct/>
              <w:topLinePunct w:val="0"/>
              <w:bidi w:val="0"/>
              <w:spacing w:line="560" w:lineRule="exact"/>
              <w:ind w:left="0" w:right="0" w:rightChars="0"/>
              <w:jc w:val="center"/>
              <w:rPr>
                <w:rFonts w:ascii="Times New Roman" w:hAnsi="Times New Roman" w:eastAsia="仿宋" w:cs="Times New Roman"/>
                <w:sz w:val="28"/>
                <w:szCs w:val="28"/>
              </w:rPr>
            </w:pPr>
            <w:r>
              <w:rPr>
                <w:rFonts w:ascii="Times New Roman" w:hAnsi="Times New Roman" w:eastAsia="仿宋" w:cs="Times New Roman"/>
                <w:sz w:val="28"/>
                <w:szCs w:val="28"/>
              </w:rPr>
              <w:t>变幅/%</w:t>
            </w:r>
          </w:p>
        </w:tc>
      </w:tr>
      <w:tr w14:paraId="4253D2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24" w:hRule="atLeast"/>
          <w:jc w:val="center"/>
        </w:trPr>
        <w:tc>
          <w:tcPr>
            <w:tcW w:w="1615" w:type="dxa"/>
            <w:shd w:val="clear" w:color="auto" w:fill="auto"/>
            <w:vAlign w:val="center"/>
          </w:tcPr>
          <w:p w14:paraId="6B59BC4B">
            <w:pPr>
              <w:pStyle w:val="19"/>
              <w:keepNext w:val="0"/>
              <w:keepLines w:val="0"/>
              <w:pageBreakBefore w:val="0"/>
              <w:overflowPunct/>
              <w:topLinePunct w:val="0"/>
              <w:bidi w:val="0"/>
              <w:spacing w:line="560" w:lineRule="exact"/>
              <w:ind w:left="0" w:right="0" w:rightChars="0"/>
              <w:jc w:val="left"/>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便道、设备存放、临时堆料、路基转料区、表土存放区、路桥驻地加宽、项目驻地补征</w:t>
            </w:r>
          </w:p>
        </w:tc>
        <w:tc>
          <w:tcPr>
            <w:tcW w:w="1936" w:type="dxa"/>
            <w:vAlign w:val="center"/>
          </w:tcPr>
          <w:p w14:paraId="5D04C59B">
            <w:pPr>
              <w:keepNext w:val="0"/>
              <w:keepLines w:val="0"/>
              <w:pageBreakBefore w:val="0"/>
              <w:overflowPunct/>
              <w:topLinePunct w:val="0"/>
              <w:bidi w:val="0"/>
              <w:spacing w:line="560" w:lineRule="exact"/>
              <w:ind w:left="0" w:right="0" w:rightChars="0"/>
              <w:jc w:val="center"/>
              <w:rPr>
                <w:rFonts w:ascii="仿宋" w:hAnsi="仿宋" w:eastAsia="仿宋" w:cs="仿宋"/>
                <w:sz w:val="20"/>
                <w:szCs w:val="20"/>
                <w:lang w:eastAsia="zh-CN"/>
              </w:rPr>
            </w:pPr>
            <w:r>
              <w:rPr>
                <w:rFonts w:hint="eastAsia" w:ascii="仿宋" w:hAnsi="仿宋" w:eastAsia="仿宋" w:cs="仿宋"/>
                <w:sz w:val="20"/>
                <w:szCs w:val="20"/>
                <w:lang w:eastAsia="zh-CN"/>
              </w:rPr>
              <w:t>天然草原</w:t>
            </w:r>
          </w:p>
        </w:tc>
        <w:tc>
          <w:tcPr>
            <w:tcW w:w="1855" w:type="dxa"/>
            <w:shd w:val="clear" w:color="auto" w:fill="auto"/>
            <w:vAlign w:val="center"/>
          </w:tcPr>
          <w:p w14:paraId="52DA0EF8">
            <w:pPr>
              <w:pStyle w:val="19"/>
              <w:keepNext w:val="0"/>
              <w:keepLines w:val="0"/>
              <w:pageBreakBefore w:val="0"/>
              <w:overflowPunct/>
              <w:topLinePunct w:val="0"/>
              <w:bidi w:val="0"/>
              <w:spacing w:line="560" w:lineRule="exact"/>
              <w:ind w:left="0" w:right="0" w:rightChars="0"/>
              <w:rPr>
                <w:rFonts w:hint="default"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1.5085</w:t>
            </w:r>
          </w:p>
        </w:tc>
        <w:tc>
          <w:tcPr>
            <w:tcW w:w="1856" w:type="dxa"/>
            <w:shd w:val="clear" w:color="auto" w:fill="auto"/>
            <w:vAlign w:val="center"/>
          </w:tcPr>
          <w:p w14:paraId="1BDFC0A3">
            <w:pPr>
              <w:pStyle w:val="19"/>
              <w:keepNext w:val="0"/>
              <w:keepLines w:val="0"/>
              <w:pageBreakBefore w:val="0"/>
              <w:overflowPunct/>
              <w:topLinePunct w:val="0"/>
              <w:bidi w:val="0"/>
              <w:spacing w:line="560" w:lineRule="exact"/>
              <w:ind w:left="0" w:right="0" w:rightChars="0"/>
              <w:rPr>
                <w:rFonts w:hint="default"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1.5085</w:t>
            </w:r>
          </w:p>
        </w:tc>
        <w:tc>
          <w:tcPr>
            <w:tcW w:w="1295" w:type="dxa"/>
            <w:vAlign w:val="center"/>
          </w:tcPr>
          <w:p w14:paraId="3E0C5915">
            <w:pPr>
              <w:keepNext w:val="0"/>
              <w:keepLines w:val="0"/>
              <w:pageBreakBefore w:val="0"/>
              <w:overflowPunct/>
              <w:topLinePunct w:val="0"/>
              <w:bidi w:val="0"/>
              <w:spacing w:line="560" w:lineRule="exact"/>
              <w:ind w:left="0" w:right="0" w:rightChars="0"/>
              <w:jc w:val="center"/>
              <w:rPr>
                <w:rFonts w:ascii="仿宋" w:hAnsi="仿宋" w:eastAsia="仿宋" w:cs="仿宋"/>
                <w:sz w:val="20"/>
                <w:szCs w:val="20"/>
                <w:lang w:eastAsia="zh-CN"/>
              </w:rPr>
            </w:pPr>
            <w:r>
              <w:rPr>
                <w:rFonts w:ascii="仿宋" w:hAnsi="仿宋" w:eastAsia="仿宋" w:cs="仿宋"/>
                <w:sz w:val="20"/>
                <w:szCs w:val="20"/>
                <w:lang w:eastAsia="zh-CN"/>
              </w:rPr>
              <w:t>0%</w:t>
            </w:r>
          </w:p>
        </w:tc>
      </w:tr>
      <w:tr w14:paraId="7E1BA9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24" w:hRule="atLeast"/>
          <w:jc w:val="center"/>
        </w:trPr>
        <w:tc>
          <w:tcPr>
            <w:tcW w:w="1615" w:type="dxa"/>
            <w:shd w:val="clear" w:color="auto" w:fill="auto"/>
            <w:vAlign w:val="center"/>
          </w:tcPr>
          <w:p w14:paraId="517EE4A9">
            <w:pPr>
              <w:pStyle w:val="19"/>
              <w:keepNext w:val="0"/>
              <w:keepLines w:val="0"/>
              <w:pageBreakBefore w:val="0"/>
              <w:overflowPunct/>
              <w:topLinePunct w:val="0"/>
              <w:bidi w:val="0"/>
              <w:spacing w:line="560" w:lineRule="exact"/>
              <w:ind w:left="0" w:right="0" w:rightChars="0"/>
              <w:jc w:val="left"/>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便道、设备存放、临时堆料、路基转料区、表土存放区、路桥驻地加宽、项目驻地补征</w:t>
            </w:r>
          </w:p>
        </w:tc>
        <w:tc>
          <w:tcPr>
            <w:tcW w:w="1936" w:type="dxa"/>
            <w:vAlign w:val="center"/>
          </w:tcPr>
          <w:p w14:paraId="6499A17F">
            <w:pPr>
              <w:keepNext w:val="0"/>
              <w:keepLines w:val="0"/>
              <w:pageBreakBefore w:val="0"/>
              <w:overflowPunct/>
              <w:topLinePunct w:val="0"/>
              <w:bidi w:val="0"/>
              <w:spacing w:line="560" w:lineRule="exact"/>
              <w:ind w:left="0" w:right="0" w:rightChars="0"/>
              <w:jc w:val="center"/>
              <w:rPr>
                <w:rFonts w:hint="eastAsia" w:ascii="仿宋" w:hAnsi="仿宋" w:eastAsia="仿宋" w:cs="仿宋"/>
                <w:color w:val="auto"/>
                <w:sz w:val="20"/>
                <w:szCs w:val="20"/>
                <w:lang w:eastAsia="zh-CN"/>
              </w:rPr>
            </w:pPr>
            <w:r>
              <w:rPr>
                <w:rFonts w:hint="eastAsia" w:ascii="仿宋" w:hAnsi="仿宋" w:eastAsia="仿宋" w:cs="仿宋"/>
                <w:sz w:val="20"/>
                <w:szCs w:val="20"/>
                <w:lang w:eastAsia="zh-CN"/>
              </w:rPr>
              <w:t>裸岩石砾地</w:t>
            </w:r>
          </w:p>
        </w:tc>
        <w:tc>
          <w:tcPr>
            <w:tcW w:w="1855" w:type="dxa"/>
            <w:shd w:val="clear" w:color="auto" w:fill="auto"/>
            <w:vAlign w:val="center"/>
          </w:tcPr>
          <w:p w14:paraId="53EF01CB">
            <w:pPr>
              <w:pStyle w:val="19"/>
              <w:keepNext w:val="0"/>
              <w:keepLines w:val="0"/>
              <w:pageBreakBefore w:val="0"/>
              <w:overflowPunct/>
              <w:topLinePunct w:val="0"/>
              <w:bidi w:val="0"/>
              <w:spacing w:line="560" w:lineRule="exact"/>
              <w:ind w:left="0" w:right="0" w:rightChars="0"/>
              <w:rPr>
                <w:rFonts w:hint="default"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5.6732</w:t>
            </w:r>
          </w:p>
        </w:tc>
        <w:tc>
          <w:tcPr>
            <w:tcW w:w="1856" w:type="dxa"/>
            <w:shd w:val="clear" w:color="auto" w:fill="auto"/>
            <w:vAlign w:val="center"/>
          </w:tcPr>
          <w:p w14:paraId="08B9DB41">
            <w:pPr>
              <w:pStyle w:val="19"/>
              <w:keepNext w:val="0"/>
              <w:keepLines w:val="0"/>
              <w:pageBreakBefore w:val="0"/>
              <w:overflowPunct/>
              <w:topLinePunct w:val="0"/>
              <w:bidi w:val="0"/>
              <w:spacing w:line="560" w:lineRule="exact"/>
              <w:ind w:left="0" w:right="0" w:rightChars="0"/>
              <w:rPr>
                <w:rFonts w:hint="default"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5.6732</w:t>
            </w:r>
          </w:p>
        </w:tc>
        <w:tc>
          <w:tcPr>
            <w:tcW w:w="1295" w:type="dxa"/>
            <w:vAlign w:val="center"/>
          </w:tcPr>
          <w:p w14:paraId="601BF71E">
            <w:pPr>
              <w:keepNext w:val="0"/>
              <w:keepLines w:val="0"/>
              <w:pageBreakBefore w:val="0"/>
              <w:overflowPunct/>
              <w:topLinePunct w:val="0"/>
              <w:bidi w:val="0"/>
              <w:spacing w:line="560" w:lineRule="exact"/>
              <w:ind w:left="0" w:right="0" w:rightChars="0"/>
              <w:jc w:val="center"/>
              <w:rPr>
                <w:rFonts w:ascii="仿宋" w:hAnsi="仿宋" w:eastAsia="仿宋" w:cs="仿宋"/>
                <w:sz w:val="20"/>
                <w:szCs w:val="20"/>
                <w:lang w:eastAsia="zh-CN"/>
              </w:rPr>
            </w:pPr>
            <w:r>
              <w:rPr>
                <w:rFonts w:ascii="仿宋" w:hAnsi="仿宋" w:eastAsia="仿宋" w:cs="仿宋"/>
                <w:sz w:val="20"/>
                <w:szCs w:val="20"/>
                <w:lang w:eastAsia="zh-CN"/>
              </w:rPr>
              <w:t>0%</w:t>
            </w:r>
          </w:p>
        </w:tc>
      </w:tr>
      <w:tr w14:paraId="3AE65F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24" w:hRule="atLeast"/>
          <w:jc w:val="center"/>
        </w:trPr>
        <w:tc>
          <w:tcPr>
            <w:tcW w:w="1615" w:type="dxa"/>
            <w:shd w:val="clear" w:color="auto" w:fill="auto"/>
            <w:vAlign w:val="center"/>
          </w:tcPr>
          <w:p w14:paraId="5D0CA645">
            <w:pPr>
              <w:pStyle w:val="19"/>
              <w:keepNext w:val="0"/>
              <w:keepLines w:val="0"/>
              <w:pageBreakBefore w:val="0"/>
              <w:overflowPunct/>
              <w:topLinePunct w:val="0"/>
              <w:bidi w:val="0"/>
              <w:spacing w:line="560" w:lineRule="exact"/>
              <w:ind w:left="0" w:right="0" w:rightChars="0"/>
              <w:jc w:val="left"/>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lang w:val="en-US" w:eastAsia="zh-CN"/>
              </w:rPr>
              <w:t>便道、设备存放、临时堆料、路基转料区、表土存放区、路桥驻地加宽、项目驻地补征</w:t>
            </w:r>
          </w:p>
        </w:tc>
        <w:tc>
          <w:tcPr>
            <w:tcW w:w="1936" w:type="dxa"/>
            <w:vAlign w:val="center"/>
          </w:tcPr>
          <w:p w14:paraId="01CB574D">
            <w:pPr>
              <w:keepNext w:val="0"/>
              <w:keepLines w:val="0"/>
              <w:pageBreakBefore w:val="0"/>
              <w:overflowPunct/>
              <w:topLinePunct w:val="0"/>
              <w:bidi w:val="0"/>
              <w:spacing w:line="560" w:lineRule="exact"/>
              <w:ind w:left="0" w:right="0" w:rightChars="0"/>
              <w:jc w:val="center"/>
              <w:rPr>
                <w:rFonts w:hint="eastAsia" w:ascii="仿宋" w:hAnsi="仿宋" w:eastAsia="仿宋" w:cs="仿宋"/>
                <w:color w:val="auto"/>
                <w:sz w:val="20"/>
                <w:szCs w:val="20"/>
                <w:lang w:eastAsia="zh-CN"/>
              </w:rPr>
            </w:pPr>
            <w:r>
              <w:rPr>
                <w:rFonts w:hint="eastAsia" w:ascii="仿宋" w:hAnsi="仿宋" w:eastAsia="仿宋" w:cs="仿宋"/>
                <w:sz w:val="20"/>
                <w:szCs w:val="20"/>
                <w:lang w:eastAsia="zh-CN"/>
              </w:rPr>
              <w:t>河流水面</w:t>
            </w:r>
          </w:p>
        </w:tc>
        <w:tc>
          <w:tcPr>
            <w:tcW w:w="1855" w:type="dxa"/>
            <w:shd w:val="clear" w:color="auto" w:fill="auto"/>
            <w:vAlign w:val="center"/>
          </w:tcPr>
          <w:p w14:paraId="6B2429DA">
            <w:pPr>
              <w:pStyle w:val="19"/>
              <w:keepNext w:val="0"/>
              <w:keepLines w:val="0"/>
              <w:pageBreakBefore w:val="0"/>
              <w:overflowPunct/>
              <w:topLinePunct w:val="0"/>
              <w:bidi w:val="0"/>
              <w:spacing w:line="560" w:lineRule="exact"/>
              <w:ind w:left="0" w:right="0" w:rightChars="0"/>
              <w:rPr>
                <w:rFonts w:hint="default"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rPr>
              <w:t>0.</w:t>
            </w:r>
            <w:r>
              <w:rPr>
                <w:rFonts w:hint="eastAsia" w:ascii="仿宋" w:hAnsi="仿宋" w:eastAsia="仿宋" w:cs="仿宋"/>
                <w:sz w:val="20"/>
                <w:szCs w:val="20"/>
                <w:lang w:val="en-US" w:eastAsia="zh-CN"/>
              </w:rPr>
              <w:t>2755</w:t>
            </w:r>
          </w:p>
        </w:tc>
        <w:tc>
          <w:tcPr>
            <w:tcW w:w="1856" w:type="dxa"/>
            <w:shd w:val="clear" w:color="auto" w:fill="auto"/>
            <w:vAlign w:val="center"/>
          </w:tcPr>
          <w:p w14:paraId="5E551C23">
            <w:pPr>
              <w:pStyle w:val="19"/>
              <w:keepNext w:val="0"/>
              <w:keepLines w:val="0"/>
              <w:pageBreakBefore w:val="0"/>
              <w:overflowPunct/>
              <w:topLinePunct w:val="0"/>
              <w:bidi w:val="0"/>
              <w:spacing w:line="560" w:lineRule="exact"/>
              <w:ind w:left="0" w:right="0" w:rightChars="0"/>
              <w:rPr>
                <w:rFonts w:hint="default" w:ascii="仿宋" w:hAnsi="仿宋" w:eastAsia="仿宋" w:cs="仿宋"/>
                <w:snapToGrid w:val="0"/>
                <w:color w:val="000000"/>
                <w:kern w:val="0"/>
                <w:sz w:val="20"/>
                <w:szCs w:val="20"/>
                <w:lang w:val="en-US" w:eastAsia="zh-CN" w:bidi="ar-SA"/>
              </w:rPr>
            </w:pPr>
            <w:r>
              <w:rPr>
                <w:rFonts w:hint="eastAsia" w:ascii="仿宋" w:hAnsi="仿宋" w:eastAsia="仿宋" w:cs="仿宋"/>
                <w:sz w:val="20"/>
                <w:szCs w:val="20"/>
              </w:rPr>
              <w:t>0.</w:t>
            </w:r>
            <w:r>
              <w:rPr>
                <w:rFonts w:hint="eastAsia" w:ascii="仿宋" w:hAnsi="仿宋" w:eastAsia="仿宋" w:cs="仿宋"/>
                <w:sz w:val="20"/>
                <w:szCs w:val="20"/>
                <w:lang w:val="en-US" w:eastAsia="zh-CN"/>
              </w:rPr>
              <w:t>2755</w:t>
            </w:r>
          </w:p>
        </w:tc>
        <w:tc>
          <w:tcPr>
            <w:tcW w:w="1295" w:type="dxa"/>
            <w:vAlign w:val="center"/>
          </w:tcPr>
          <w:p w14:paraId="45FFA574">
            <w:pPr>
              <w:keepNext w:val="0"/>
              <w:keepLines w:val="0"/>
              <w:pageBreakBefore w:val="0"/>
              <w:overflowPunct/>
              <w:topLinePunct w:val="0"/>
              <w:bidi w:val="0"/>
              <w:spacing w:line="560" w:lineRule="exact"/>
              <w:ind w:left="0" w:right="0" w:rightChars="0"/>
              <w:jc w:val="center"/>
              <w:rPr>
                <w:rFonts w:ascii="仿宋" w:hAnsi="仿宋" w:eastAsia="仿宋" w:cs="仿宋"/>
                <w:sz w:val="20"/>
                <w:szCs w:val="20"/>
                <w:lang w:eastAsia="zh-CN"/>
              </w:rPr>
            </w:pPr>
            <w:r>
              <w:rPr>
                <w:rFonts w:ascii="仿宋" w:hAnsi="仿宋" w:eastAsia="仿宋" w:cs="仿宋"/>
                <w:sz w:val="20"/>
                <w:szCs w:val="20"/>
                <w:lang w:eastAsia="zh-CN"/>
              </w:rPr>
              <w:t>0%</w:t>
            </w:r>
          </w:p>
        </w:tc>
      </w:tr>
      <w:tr w14:paraId="2C6CE5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58" w:hRule="atLeast"/>
          <w:jc w:val="center"/>
        </w:trPr>
        <w:tc>
          <w:tcPr>
            <w:tcW w:w="3551" w:type="dxa"/>
            <w:gridSpan w:val="2"/>
            <w:vAlign w:val="center"/>
          </w:tcPr>
          <w:p w14:paraId="302D1D20">
            <w:pPr>
              <w:keepNext w:val="0"/>
              <w:keepLines w:val="0"/>
              <w:pageBreakBefore w:val="0"/>
              <w:overflowPunct/>
              <w:topLinePunct w:val="0"/>
              <w:bidi w:val="0"/>
              <w:spacing w:line="560" w:lineRule="exact"/>
              <w:ind w:left="0" w:right="0" w:rightChars="0"/>
              <w:jc w:val="center"/>
              <w:rPr>
                <w:rFonts w:ascii="仿宋" w:hAnsi="仿宋" w:eastAsia="仿宋" w:cs="仿宋"/>
                <w:sz w:val="20"/>
                <w:szCs w:val="20"/>
                <w:lang w:eastAsia="zh-CN"/>
              </w:rPr>
            </w:pPr>
            <w:r>
              <w:rPr>
                <w:rFonts w:ascii="仿宋" w:hAnsi="仿宋" w:eastAsia="仿宋" w:cs="仿宋"/>
                <w:sz w:val="20"/>
                <w:szCs w:val="20"/>
                <w:lang w:eastAsia="zh-CN"/>
              </w:rPr>
              <w:t>合计</w:t>
            </w:r>
          </w:p>
        </w:tc>
        <w:tc>
          <w:tcPr>
            <w:tcW w:w="1855" w:type="dxa"/>
            <w:vAlign w:val="center"/>
          </w:tcPr>
          <w:p w14:paraId="3623928D">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r>
              <w:rPr>
                <w:rFonts w:hint="eastAsia" w:ascii="仿宋" w:hAnsi="仿宋" w:eastAsia="仿宋" w:cs="仿宋"/>
                <w:sz w:val="20"/>
                <w:szCs w:val="20"/>
                <w:lang w:eastAsia="zh-CN"/>
              </w:rPr>
              <w:t>7.4572</w:t>
            </w:r>
          </w:p>
        </w:tc>
        <w:tc>
          <w:tcPr>
            <w:tcW w:w="1856" w:type="dxa"/>
            <w:vAlign w:val="center"/>
          </w:tcPr>
          <w:p w14:paraId="6F43D9B7">
            <w:pPr>
              <w:keepNext w:val="0"/>
              <w:keepLines w:val="0"/>
              <w:pageBreakBefore w:val="0"/>
              <w:overflowPunct/>
              <w:topLinePunct w:val="0"/>
              <w:bidi w:val="0"/>
              <w:spacing w:line="560" w:lineRule="exact"/>
              <w:ind w:left="0" w:right="0" w:rightChars="0"/>
              <w:jc w:val="center"/>
              <w:textAlignment w:val="center"/>
              <w:rPr>
                <w:rFonts w:ascii="仿宋" w:hAnsi="仿宋" w:eastAsia="仿宋" w:cs="仿宋"/>
                <w:sz w:val="20"/>
                <w:szCs w:val="20"/>
                <w:lang w:eastAsia="zh-CN"/>
              </w:rPr>
            </w:pPr>
            <w:r>
              <w:rPr>
                <w:rFonts w:hint="eastAsia" w:ascii="仿宋" w:hAnsi="仿宋" w:eastAsia="仿宋" w:cs="仿宋"/>
                <w:sz w:val="20"/>
                <w:szCs w:val="20"/>
                <w:lang w:eastAsia="zh-CN"/>
              </w:rPr>
              <w:t>7.4572</w:t>
            </w:r>
          </w:p>
        </w:tc>
        <w:tc>
          <w:tcPr>
            <w:tcW w:w="1295" w:type="dxa"/>
            <w:vAlign w:val="center"/>
          </w:tcPr>
          <w:p w14:paraId="595662DB">
            <w:pPr>
              <w:keepNext w:val="0"/>
              <w:keepLines w:val="0"/>
              <w:pageBreakBefore w:val="0"/>
              <w:overflowPunct/>
              <w:topLinePunct w:val="0"/>
              <w:bidi w:val="0"/>
              <w:spacing w:line="560" w:lineRule="exact"/>
              <w:ind w:left="0" w:right="0" w:rightChars="0"/>
              <w:jc w:val="center"/>
              <w:rPr>
                <w:rFonts w:ascii="仿宋" w:hAnsi="仿宋" w:eastAsia="仿宋" w:cs="仿宋"/>
                <w:sz w:val="20"/>
                <w:szCs w:val="20"/>
                <w:lang w:eastAsia="zh-CN"/>
              </w:rPr>
            </w:pPr>
            <w:r>
              <w:rPr>
                <w:rFonts w:ascii="仿宋" w:hAnsi="仿宋" w:eastAsia="仿宋" w:cs="仿宋"/>
                <w:sz w:val="20"/>
                <w:szCs w:val="20"/>
                <w:lang w:eastAsia="zh-CN"/>
              </w:rPr>
              <w:t>0%</w:t>
            </w:r>
          </w:p>
        </w:tc>
      </w:tr>
    </w:tbl>
    <w:p w14:paraId="79841957">
      <w:pPr>
        <w:keepNext w:val="0"/>
        <w:keepLines w:val="0"/>
        <w:pageBreakBefore w:val="0"/>
        <w:wordWrap/>
        <w:overflowPunct/>
        <w:topLinePunct w:val="0"/>
        <w:bidi w:val="0"/>
        <w:adjustRightInd w:val="0"/>
        <w:spacing w:line="560" w:lineRule="exact"/>
        <w:ind w:left="0" w:right="0" w:rightChars="0"/>
        <w:rPr>
          <w:rFonts w:hint="default" w:ascii="Times New Roman" w:hAnsi="Times New Roman" w:eastAsia="方正仿宋_GBK" w:cs="Times New Roman"/>
          <w:b/>
          <w:sz w:val="32"/>
          <w:szCs w:val="32"/>
          <w:lang w:val="en-US" w:eastAsia="zh-CN"/>
        </w:rPr>
      </w:pPr>
    </w:p>
    <w:p w14:paraId="7B1F33B6">
      <w:pPr>
        <w:keepNext w:val="0"/>
        <w:keepLines w:val="0"/>
        <w:pageBreakBefore w:val="0"/>
        <w:wordWrap/>
        <w:overflowPunct/>
        <w:topLinePunct w:val="0"/>
        <w:bidi w:val="0"/>
        <w:adjustRightInd w:val="0"/>
        <w:spacing w:line="560" w:lineRule="exact"/>
        <w:ind w:left="0" w:right="0" w:rightChars="0" w:firstLine="640" w:firstLineChars="200"/>
        <w:rPr>
          <w:rFonts w:hint="default" w:ascii="Times New Roman" w:hAnsi="Times New Roman" w:eastAsia="方正黑体_GBK" w:cs="Times New Roman"/>
          <w:b w:val="0"/>
          <w:bCs w:val="0"/>
          <w:snapToGrid w:val="0"/>
          <w:color w:val="000000"/>
          <w:kern w:val="0"/>
          <w:sz w:val="32"/>
          <w:szCs w:val="32"/>
          <w:lang w:val="en-US" w:eastAsia="zh-CN" w:bidi="ar-SA"/>
        </w:rPr>
      </w:pPr>
      <w:r>
        <w:rPr>
          <w:rFonts w:hint="default" w:ascii="Times New Roman" w:hAnsi="Times New Roman" w:eastAsia="方正黑体_GBK" w:cs="Times New Roman"/>
          <w:b w:val="0"/>
          <w:bCs w:val="0"/>
          <w:snapToGrid w:val="0"/>
          <w:color w:val="000000"/>
          <w:kern w:val="0"/>
          <w:sz w:val="32"/>
          <w:szCs w:val="32"/>
          <w:lang w:val="en-US" w:eastAsia="zh-CN" w:bidi="ar-SA"/>
        </w:rPr>
        <w:t>1.2.5复垦的投资情况</w:t>
      </w:r>
    </w:p>
    <w:p w14:paraId="375521A1">
      <w:pPr>
        <w:pStyle w:val="7"/>
        <w:keepNext w:val="0"/>
        <w:keepLines w:val="0"/>
        <w:pageBreakBefore w:val="0"/>
        <w:widowControl/>
        <w:kinsoku/>
        <w:wordWrap/>
        <w:overflowPunct/>
        <w:topLinePunct w:val="0"/>
        <w:autoSpaceDE w:val="0"/>
        <w:autoSpaceDN w:val="0"/>
        <w:bidi w:val="0"/>
        <w:adjustRightInd w:val="0"/>
        <w:snapToGrid w:val="0"/>
        <w:spacing w:after="0" w:line="560" w:lineRule="exact"/>
        <w:ind w:left="0" w:right="0" w:rightChars="0" w:firstLine="646" w:firstLineChars="202"/>
        <w:jc w:val="both"/>
        <w:textAlignment w:val="baseline"/>
        <w:rPr>
          <w:rFonts w:hint="default" w:ascii="Times New Roman" w:hAnsi="Times New Roman" w:eastAsia="方正仿宋_GBK" w:cs="Times New Roman"/>
          <w:color w:val="000000" w:themeColor="text1"/>
          <w:sz w:val="32"/>
          <w:szCs w:val="32"/>
          <w:lang w:eastAsia="zh-CN"/>
          <w14:textFill>
            <w14:solidFill>
              <w14:schemeClr w14:val="tx1"/>
            </w14:solidFill>
          </w14:textFill>
        </w:rPr>
      </w:pPr>
      <w:r>
        <w:rPr>
          <w:rFonts w:hint="default" w:ascii="Times New Roman" w:hAnsi="Times New Roman" w:eastAsia="方正仿宋_GBK" w:cs="Times New Roman"/>
          <w:sz w:val="32"/>
          <w:szCs w:val="32"/>
          <w:lang w:eastAsia="zh-CN"/>
        </w:rPr>
        <w:t>本项目复垦投资依据复垦工程内容及工程量进行估算，复垦静态总投资</w:t>
      </w:r>
      <w:r>
        <w:rPr>
          <w:rFonts w:hint="default" w:ascii="Times New Roman" w:hAnsi="Times New Roman" w:eastAsia="方正仿宋_GBK" w:cs="Times New Roman"/>
          <w:sz w:val="32"/>
          <w:szCs w:val="32"/>
          <w:lang w:val="en-US" w:eastAsia="zh-CN"/>
        </w:rPr>
        <w:t>407598.15 元（肆拾万零柒仟伍佰玖拾捌元壹角伍分）</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1</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 xml:space="preserve"> 天然牧草地复垦费：天然牧草地面积（亩）×收费基价（元）</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22.6275</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 xml:space="preserve"> 亩 ×5000 元 / 亩 =</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113137.50</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元；</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2</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裸土地及河流水面复垦费：裸土地及河流水面面积（亩）×收费基价（元）</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 xml:space="preserve"> </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89.2305</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 xml:space="preserve"> 亩 ×3300 元 / 亩 =</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294460.65</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元。</w:t>
      </w:r>
    </w:p>
    <w:p w14:paraId="1CDC33E5">
      <w:pPr>
        <w:pStyle w:val="17"/>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jc w:val="left"/>
        <w:rPr>
          <w:rFonts w:hint="default" w:ascii="Times New Roman" w:hAnsi="Times New Roman" w:eastAsia="方正黑体_GBK" w:cs="Times New Roman"/>
          <w:b w:val="0"/>
          <w:bCs w:val="0"/>
          <w:snapToGrid w:val="0"/>
          <w:color w:val="000000"/>
          <w:kern w:val="0"/>
          <w:sz w:val="32"/>
          <w:szCs w:val="32"/>
          <w:lang w:val="en-US" w:eastAsia="zh-CN" w:bidi="ar-SA"/>
        </w:rPr>
      </w:pPr>
      <w:r>
        <w:rPr>
          <w:rFonts w:hint="default" w:ascii="Times New Roman" w:hAnsi="Times New Roman" w:eastAsia="方正黑体_GBK" w:cs="Times New Roman"/>
          <w:b w:val="0"/>
          <w:bCs w:val="0"/>
          <w:snapToGrid w:val="0"/>
          <w:color w:val="000000"/>
          <w:kern w:val="0"/>
          <w:sz w:val="32"/>
          <w:szCs w:val="32"/>
          <w:lang w:val="en-US" w:eastAsia="zh-CN" w:bidi="ar-SA"/>
        </w:rPr>
        <w:t>三、征询公众意见内容</w:t>
      </w:r>
    </w:p>
    <w:p w14:paraId="00A4D210">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val="en-US" w:eastAsia="zh-CN"/>
        </w:rPr>
        <w:t>1.土地损毁面积是否符合实际</w:t>
      </w:r>
      <w:r>
        <w:rPr>
          <w:rFonts w:hint="eastAsia" w:ascii="Times New Roman" w:hAnsi="Times New Roman" w:eastAsia="方正仿宋_GBK" w:cs="Times New Roman"/>
          <w:spacing w:val="0"/>
          <w:sz w:val="32"/>
          <w:szCs w:val="32"/>
          <w:lang w:val="en-US" w:eastAsia="zh-CN"/>
        </w:rPr>
        <w:t>批复面积</w:t>
      </w:r>
      <w:r>
        <w:rPr>
          <w:rFonts w:hint="default" w:ascii="Times New Roman" w:hAnsi="Times New Roman" w:eastAsia="方正仿宋_GBK" w:cs="Times New Roman"/>
          <w:spacing w:val="0"/>
          <w:sz w:val="32"/>
          <w:szCs w:val="32"/>
          <w:lang w:val="en-US" w:eastAsia="zh-CN"/>
        </w:rPr>
        <w:t>。</w:t>
      </w:r>
    </w:p>
    <w:p w14:paraId="21AFFD6F">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val="en-US" w:eastAsia="zh-CN"/>
        </w:rPr>
        <w:t>2.</w:t>
      </w:r>
      <w:r>
        <w:rPr>
          <w:rFonts w:hint="eastAsia" w:ascii="Times New Roman" w:hAnsi="Times New Roman" w:eastAsia="方正仿宋_GBK" w:cs="Times New Roman"/>
          <w:spacing w:val="0"/>
          <w:sz w:val="32"/>
          <w:szCs w:val="32"/>
          <w:lang w:val="en-US" w:eastAsia="zh-CN"/>
        </w:rPr>
        <w:t>临时用地办理期间是否对牧民草场进行合理补偿</w:t>
      </w:r>
      <w:r>
        <w:rPr>
          <w:rFonts w:hint="default" w:ascii="Times New Roman" w:hAnsi="Times New Roman" w:eastAsia="方正仿宋_GBK" w:cs="Times New Roman"/>
          <w:spacing w:val="0"/>
          <w:sz w:val="32"/>
          <w:szCs w:val="32"/>
          <w:lang w:val="en-US" w:eastAsia="zh-CN"/>
        </w:rPr>
        <w:t>。</w:t>
      </w:r>
    </w:p>
    <w:p w14:paraId="414D3725">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val="en-US" w:eastAsia="zh-CN"/>
        </w:rPr>
        <w:t>3.</w:t>
      </w:r>
      <w:r>
        <w:rPr>
          <w:rFonts w:hint="default" w:ascii="Times New Roman" w:hAnsi="Times New Roman" w:eastAsia="方正仿宋_GBK" w:cs="Times New Roman"/>
          <w:color w:val="000000"/>
          <w:spacing w:val="0"/>
          <w:sz w:val="32"/>
          <w:szCs w:val="32"/>
          <w:lang w:val="en-US" w:eastAsia="zh-CN"/>
        </w:rPr>
        <w:t>生产年限到期没有进行复垦的向自然资源局举报。</w:t>
      </w:r>
    </w:p>
    <w:p w14:paraId="1D526D4E">
      <w:pPr>
        <w:pStyle w:val="17"/>
        <w:keepNext w:val="0"/>
        <w:keepLines w:val="0"/>
        <w:pageBreakBefore w:val="0"/>
        <w:widowControl w:val="0"/>
        <w:kinsoku/>
        <w:wordWrap/>
        <w:overflowPunct/>
        <w:topLinePunct w:val="0"/>
        <w:autoSpaceDE/>
        <w:autoSpaceDN/>
        <w:bidi w:val="0"/>
        <w:adjustRightInd/>
        <w:spacing w:line="560" w:lineRule="exact"/>
        <w:ind w:left="0" w:right="0" w:rightChars="0" w:firstLine="640" w:firstLineChars="200"/>
        <w:jc w:val="left"/>
        <w:rPr>
          <w:rFonts w:hint="default" w:ascii="Times New Roman" w:hAnsi="Times New Roman" w:eastAsia="方正黑体_GBK" w:cs="Times New Roman"/>
          <w:b w:val="0"/>
          <w:bCs w:val="0"/>
          <w:snapToGrid w:val="0"/>
          <w:color w:val="000000"/>
          <w:kern w:val="0"/>
          <w:sz w:val="32"/>
          <w:szCs w:val="32"/>
          <w:lang w:val="en-US" w:eastAsia="zh-CN" w:bidi="ar-SA"/>
        </w:rPr>
      </w:pPr>
      <w:r>
        <w:rPr>
          <w:rFonts w:hint="default" w:ascii="Times New Roman" w:hAnsi="Times New Roman" w:eastAsia="方正黑体_GBK" w:cs="Times New Roman"/>
          <w:b w:val="0"/>
          <w:bCs w:val="0"/>
          <w:snapToGrid w:val="0"/>
          <w:color w:val="000000"/>
          <w:kern w:val="0"/>
          <w:sz w:val="32"/>
          <w:szCs w:val="32"/>
          <w:lang w:val="en-US" w:eastAsia="zh-CN" w:bidi="ar-SA"/>
        </w:rPr>
        <w:t>四、公示说明</w:t>
      </w:r>
    </w:p>
    <w:p w14:paraId="4BB996B8">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jc w:val="left"/>
        <w:textAlignment w:val="auto"/>
        <w:rPr>
          <w:rFonts w:hint="default" w:ascii="Times New Roman" w:hAnsi="Times New Roman" w:eastAsia="方正仿宋_GBK" w:cs="Times New Roman"/>
          <w:color w:val="000000"/>
          <w:spacing w:val="0"/>
          <w:sz w:val="32"/>
          <w:szCs w:val="32"/>
        </w:rPr>
      </w:pPr>
      <w:r>
        <w:rPr>
          <w:rFonts w:hint="eastAsia" w:ascii="Times New Roman" w:hAnsi="Times New Roman" w:eastAsia="方正仿宋_GBK" w:cs="Times New Roman"/>
          <w:color w:val="000000"/>
          <w:spacing w:val="0"/>
          <w:sz w:val="32"/>
          <w:szCs w:val="32"/>
          <w:lang w:eastAsia="zh-CN"/>
        </w:rPr>
        <w:t>1.</w:t>
      </w:r>
      <w:r>
        <w:rPr>
          <w:rFonts w:hint="default" w:ascii="Times New Roman" w:hAnsi="Times New Roman" w:eastAsia="方正仿宋_GBK" w:cs="Times New Roman"/>
          <w:color w:val="000000"/>
          <w:spacing w:val="0"/>
          <w:sz w:val="32"/>
          <w:szCs w:val="32"/>
        </w:rPr>
        <w:t>公示时间为202</w:t>
      </w:r>
      <w:r>
        <w:rPr>
          <w:rFonts w:hint="eastAsia" w:ascii="Times New Roman" w:hAnsi="Times New Roman" w:eastAsia="方正仿宋_GBK" w:cs="Times New Roman"/>
          <w:color w:val="000000"/>
          <w:spacing w:val="0"/>
          <w:sz w:val="32"/>
          <w:szCs w:val="32"/>
          <w:lang w:val="en-US" w:eastAsia="zh-CN"/>
        </w:rPr>
        <w:t>6</w:t>
      </w:r>
      <w:r>
        <w:rPr>
          <w:rFonts w:hint="default" w:ascii="Times New Roman" w:hAnsi="Times New Roman" w:eastAsia="方正仿宋_GBK" w:cs="Times New Roman"/>
          <w:color w:val="000000"/>
          <w:spacing w:val="0"/>
          <w:sz w:val="32"/>
          <w:szCs w:val="32"/>
        </w:rPr>
        <w:t>年</w:t>
      </w:r>
      <w:r>
        <w:rPr>
          <w:rFonts w:hint="eastAsia" w:ascii="Times New Roman" w:hAnsi="Times New Roman" w:eastAsia="方正仿宋_GBK" w:cs="Times New Roman"/>
          <w:color w:val="000000"/>
          <w:spacing w:val="0"/>
          <w:sz w:val="32"/>
          <w:szCs w:val="32"/>
          <w:lang w:val="en-US" w:eastAsia="zh-CN"/>
        </w:rPr>
        <w:t>6</w:t>
      </w:r>
      <w:r>
        <w:rPr>
          <w:rFonts w:hint="default" w:ascii="Times New Roman" w:hAnsi="Times New Roman" w:eastAsia="方正仿宋_GBK" w:cs="Times New Roman"/>
          <w:color w:val="000000"/>
          <w:spacing w:val="0"/>
          <w:sz w:val="32"/>
          <w:szCs w:val="32"/>
        </w:rPr>
        <w:t>月</w:t>
      </w:r>
      <w:r>
        <w:rPr>
          <w:rFonts w:hint="eastAsia" w:ascii="Times New Roman" w:hAnsi="Times New Roman" w:eastAsia="方正仿宋_GBK" w:cs="Times New Roman"/>
          <w:color w:val="000000"/>
          <w:spacing w:val="0"/>
          <w:sz w:val="32"/>
          <w:szCs w:val="32"/>
          <w:lang w:val="en-US" w:eastAsia="zh-CN"/>
        </w:rPr>
        <w:t>23</w:t>
      </w:r>
      <w:r>
        <w:rPr>
          <w:rFonts w:hint="default" w:ascii="Times New Roman" w:hAnsi="Times New Roman" w:eastAsia="方正仿宋_GBK" w:cs="Times New Roman"/>
          <w:color w:val="000000"/>
          <w:spacing w:val="0"/>
          <w:sz w:val="32"/>
          <w:szCs w:val="32"/>
        </w:rPr>
        <w:t>日—</w:t>
      </w:r>
      <w:r>
        <w:rPr>
          <w:rFonts w:hint="default" w:ascii="Times New Roman" w:hAnsi="Times New Roman" w:eastAsia="方正仿宋_GBK" w:cs="Times New Roman"/>
          <w:color w:val="000000"/>
          <w:spacing w:val="0"/>
          <w:sz w:val="32"/>
          <w:szCs w:val="32"/>
          <w:lang w:val="en-US" w:eastAsia="zh-CN"/>
        </w:rPr>
        <w:t>202</w:t>
      </w:r>
      <w:r>
        <w:rPr>
          <w:rFonts w:hint="eastAsia" w:ascii="Times New Roman" w:hAnsi="Times New Roman" w:eastAsia="方正仿宋_GBK" w:cs="Times New Roman"/>
          <w:color w:val="000000"/>
          <w:spacing w:val="0"/>
          <w:sz w:val="32"/>
          <w:szCs w:val="32"/>
          <w:lang w:val="en-US" w:eastAsia="zh-CN"/>
        </w:rPr>
        <w:t>6</w:t>
      </w:r>
      <w:r>
        <w:rPr>
          <w:rFonts w:hint="default" w:ascii="Times New Roman" w:hAnsi="Times New Roman" w:eastAsia="方正仿宋_GBK" w:cs="Times New Roman"/>
          <w:color w:val="000000"/>
          <w:spacing w:val="0"/>
          <w:sz w:val="32"/>
          <w:szCs w:val="32"/>
          <w:lang w:val="en-US" w:eastAsia="zh-CN"/>
        </w:rPr>
        <w:t>年</w:t>
      </w:r>
      <w:r>
        <w:rPr>
          <w:rFonts w:hint="eastAsia" w:ascii="Times New Roman" w:hAnsi="Times New Roman" w:eastAsia="方正仿宋_GBK" w:cs="Times New Roman"/>
          <w:color w:val="000000"/>
          <w:spacing w:val="0"/>
          <w:sz w:val="32"/>
          <w:szCs w:val="32"/>
          <w:lang w:val="en-US" w:eastAsia="zh-CN"/>
        </w:rPr>
        <w:t>6</w:t>
      </w:r>
      <w:r>
        <w:rPr>
          <w:rFonts w:hint="default" w:ascii="Times New Roman" w:hAnsi="Times New Roman" w:eastAsia="方正仿宋_GBK" w:cs="Times New Roman"/>
          <w:color w:val="000000"/>
          <w:spacing w:val="0"/>
          <w:sz w:val="32"/>
          <w:szCs w:val="32"/>
        </w:rPr>
        <w:t>月</w:t>
      </w:r>
      <w:r>
        <w:rPr>
          <w:rFonts w:hint="eastAsia" w:ascii="Times New Roman" w:hAnsi="Times New Roman" w:eastAsia="方正仿宋_GBK" w:cs="Times New Roman"/>
          <w:color w:val="000000"/>
          <w:spacing w:val="0"/>
          <w:sz w:val="32"/>
          <w:szCs w:val="32"/>
          <w:lang w:val="en-US" w:eastAsia="zh-CN"/>
        </w:rPr>
        <w:t>30</w:t>
      </w:r>
      <w:r>
        <w:rPr>
          <w:rFonts w:hint="default" w:ascii="Times New Roman" w:hAnsi="Times New Roman" w:eastAsia="方正仿宋_GBK" w:cs="Times New Roman"/>
          <w:color w:val="000000"/>
          <w:spacing w:val="0"/>
          <w:sz w:val="32"/>
          <w:szCs w:val="32"/>
        </w:rPr>
        <w:t>日。</w:t>
      </w:r>
    </w:p>
    <w:p w14:paraId="75C29DF1">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jc w:val="left"/>
        <w:textAlignment w:val="auto"/>
        <w:rPr>
          <w:rFonts w:hint="default" w:ascii="Times New Roman" w:hAnsi="Times New Roman" w:eastAsia="方正仿宋_GBK" w:cs="Times New Roman"/>
          <w:spacing w:val="0"/>
          <w:sz w:val="32"/>
          <w:szCs w:val="32"/>
          <w:lang w:eastAsia="zh-CN"/>
        </w:rPr>
      </w:pPr>
      <w:r>
        <w:rPr>
          <w:rFonts w:hint="eastAsia" w:ascii="Times New Roman" w:hAnsi="Times New Roman" w:eastAsia="方正仿宋_GBK" w:cs="Times New Roman"/>
          <w:color w:val="000000"/>
          <w:spacing w:val="0"/>
          <w:sz w:val="32"/>
          <w:szCs w:val="32"/>
          <w:lang w:eastAsia="zh-CN"/>
        </w:rPr>
        <w:t>2.</w:t>
      </w:r>
      <w:r>
        <w:rPr>
          <w:rFonts w:hint="default" w:ascii="Times New Roman" w:hAnsi="Times New Roman" w:eastAsia="方正仿宋_GBK" w:cs="Times New Roman"/>
          <w:color w:val="000000"/>
          <w:spacing w:val="0"/>
          <w:sz w:val="32"/>
          <w:szCs w:val="32"/>
        </w:rPr>
        <w:t>本次公众意见可通过信函、传真等书面形式与</w:t>
      </w:r>
      <w:r>
        <w:rPr>
          <w:rFonts w:hint="default" w:ascii="Times New Roman" w:hAnsi="Times New Roman" w:eastAsia="方正仿宋_GBK" w:cs="Times New Roman"/>
          <w:color w:val="000000"/>
          <w:spacing w:val="0"/>
          <w:sz w:val="32"/>
          <w:szCs w:val="32"/>
          <w:lang w:val="en-US" w:eastAsia="zh-CN"/>
        </w:rPr>
        <w:t>自然资源局联系</w:t>
      </w:r>
      <w:r>
        <w:rPr>
          <w:rFonts w:hint="default" w:ascii="Times New Roman" w:hAnsi="Times New Roman" w:eastAsia="方正仿宋_GBK" w:cs="Times New Roman"/>
          <w:color w:val="000000"/>
          <w:spacing w:val="0"/>
          <w:sz w:val="32"/>
          <w:szCs w:val="32"/>
        </w:rPr>
        <w:t>。</w:t>
      </w:r>
    </w:p>
    <w:p w14:paraId="448D3133">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eastAsia="zh-CN"/>
        </w:rPr>
        <w:t>地址：</w:t>
      </w:r>
      <w:r>
        <w:rPr>
          <w:rFonts w:hint="default" w:ascii="Times New Roman" w:hAnsi="Times New Roman" w:eastAsia="方正仿宋_GBK" w:cs="Times New Roman"/>
          <w:spacing w:val="0"/>
          <w:sz w:val="32"/>
          <w:szCs w:val="32"/>
          <w:lang w:val="en-US" w:eastAsia="zh-CN"/>
        </w:rPr>
        <w:t>和静县建设路988号自然资源局</w:t>
      </w:r>
    </w:p>
    <w:p w14:paraId="7276F08C">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eastAsia="zh-CN"/>
        </w:rPr>
        <w:t>联系人：</w:t>
      </w:r>
      <w:r>
        <w:rPr>
          <w:rFonts w:hint="default" w:ascii="Times New Roman" w:hAnsi="Times New Roman" w:eastAsia="方正仿宋_GBK" w:cs="Times New Roman"/>
          <w:spacing w:val="0"/>
          <w:sz w:val="32"/>
          <w:szCs w:val="32"/>
          <w:lang w:val="en-US" w:eastAsia="zh-CN"/>
        </w:rPr>
        <w:t>王百虎</w:t>
      </w:r>
    </w:p>
    <w:p w14:paraId="79CCC8FC">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eastAsia="zh-CN"/>
        </w:rPr>
        <w:t>固定电话：</w:t>
      </w:r>
      <w:r>
        <w:rPr>
          <w:rFonts w:hint="default" w:ascii="Times New Roman" w:hAnsi="Times New Roman" w:eastAsia="方正仿宋_GBK" w:cs="Times New Roman"/>
          <w:spacing w:val="0"/>
          <w:sz w:val="32"/>
          <w:szCs w:val="32"/>
          <w:lang w:val="en-US" w:eastAsia="zh-CN"/>
        </w:rPr>
        <w:t>0996-5025378、5025815</w:t>
      </w:r>
    </w:p>
    <w:p w14:paraId="336042F2">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jc w:val="left"/>
        <w:textAlignment w:val="auto"/>
        <w:rPr>
          <w:rFonts w:hint="default" w:ascii="Times New Roman" w:hAnsi="Times New Roman" w:eastAsia="方正仿宋_GBK" w:cs="Times New Roman"/>
          <w:color w:val="000000"/>
          <w:sz w:val="32"/>
          <w:szCs w:val="32"/>
        </w:rPr>
      </w:pPr>
    </w:p>
    <w:p w14:paraId="34FB6568">
      <w:pPr>
        <w:pStyle w:val="2"/>
        <w:keepNext w:val="0"/>
        <w:keepLines w:val="0"/>
        <w:pageBreakBefore w:val="0"/>
        <w:overflowPunct/>
        <w:topLinePunct w:val="0"/>
        <w:bidi w:val="0"/>
        <w:spacing w:after="0" w:line="560" w:lineRule="exact"/>
        <w:ind w:left="0" w:leftChars="0" w:right="0" w:rightChars="0" w:firstLine="0" w:firstLineChars="0"/>
        <w:rPr>
          <w:rFonts w:hint="default" w:ascii="Times New Roman" w:hAnsi="Times New Roman" w:eastAsia="方正仿宋_GBK" w:cs="Times New Roman"/>
          <w:color w:val="000000"/>
          <w:sz w:val="32"/>
          <w:szCs w:val="32"/>
          <w:lang w:val="en-US" w:eastAsia="zh-CN"/>
        </w:rPr>
      </w:pPr>
    </w:p>
    <w:p w14:paraId="4B176A7C">
      <w:pPr>
        <w:keepNext w:val="0"/>
        <w:keepLines w:val="0"/>
        <w:pageBreakBefore w:val="0"/>
        <w:widowControl w:val="0"/>
        <w:kinsoku/>
        <w:wordWrap/>
        <w:overflowPunct/>
        <w:topLinePunct w:val="0"/>
        <w:autoSpaceDE/>
        <w:autoSpaceDN/>
        <w:bidi w:val="0"/>
        <w:spacing w:line="560" w:lineRule="exact"/>
        <w:ind w:left="0" w:right="0" w:rightChars="0" w:firstLine="6080" w:firstLineChars="1900"/>
        <w:jc w:val="left"/>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和静县自然资源局</w:t>
      </w:r>
    </w:p>
    <w:p w14:paraId="1AEA49F1">
      <w:pPr>
        <w:keepNext w:val="0"/>
        <w:keepLines w:val="0"/>
        <w:pageBreakBefore w:val="0"/>
        <w:widowControl w:val="0"/>
        <w:kinsoku/>
        <w:wordWrap/>
        <w:overflowPunct/>
        <w:topLinePunct w:val="0"/>
        <w:autoSpaceDE/>
        <w:autoSpaceDN/>
        <w:bidi w:val="0"/>
        <w:spacing w:line="560" w:lineRule="exact"/>
        <w:ind w:left="0" w:right="0" w:rightChars="0" w:firstLine="6080" w:firstLineChars="1900"/>
        <w:jc w:val="left"/>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202</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lang w:val="en-US" w:eastAsia="zh-CN"/>
        </w:rPr>
        <w:t>年</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lang w:val="en-US" w:eastAsia="zh-CN"/>
        </w:rPr>
        <w:t>月</w:t>
      </w:r>
      <w:r>
        <w:rPr>
          <w:rFonts w:hint="eastAsia" w:ascii="Times New Roman" w:hAnsi="Times New Roman" w:eastAsia="方正仿宋_GBK" w:cs="Times New Roman"/>
          <w:color w:val="000000"/>
          <w:sz w:val="32"/>
          <w:szCs w:val="32"/>
          <w:lang w:val="en-US" w:eastAsia="zh-CN"/>
        </w:rPr>
        <w:t>23</w:t>
      </w:r>
      <w:r>
        <w:rPr>
          <w:rFonts w:hint="default" w:ascii="Times New Roman" w:hAnsi="Times New Roman" w:eastAsia="方正仿宋_GBK" w:cs="Times New Roman"/>
          <w:color w:val="000000"/>
          <w:sz w:val="32"/>
          <w:szCs w:val="32"/>
          <w:lang w:val="en-US" w:eastAsia="zh-CN"/>
        </w:rPr>
        <w:t>日</w:t>
      </w:r>
    </w:p>
    <w:p w14:paraId="795D0954">
      <w:pPr>
        <w:pStyle w:val="2"/>
        <w:keepNext w:val="0"/>
        <w:keepLines w:val="0"/>
        <w:pageBreakBefore w:val="0"/>
        <w:overflowPunct/>
        <w:topLinePunct w:val="0"/>
        <w:bidi w:val="0"/>
        <w:spacing w:after="0" w:line="560" w:lineRule="exact"/>
        <w:ind w:left="0" w:right="0" w:rightChars="0"/>
        <w:rPr>
          <w:rFonts w:hint="default"/>
          <w:lang w:val="en-US" w:eastAsia="zh-CN"/>
        </w:rPr>
      </w:pPr>
    </w:p>
    <w:p w14:paraId="77896BE5">
      <w:pPr>
        <w:pStyle w:val="2"/>
        <w:keepNext w:val="0"/>
        <w:keepLines w:val="0"/>
        <w:pageBreakBefore w:val="0"/>
        <w:overflowPunct/>
        <w:topLinePunct w:val="0"/>
        <w:bidi w:val="0"/>
        <w:spacing w:after="0" w:line="560" w:lineRule="exact"/>
        <w:ind w:left="0" w:right="0" w:rightChars="0"/>
        <w:rPr>
          <w:rFonts w:hint="default"/>
          <w:lang w:val="en-US" w:eastAsia="zh-CN"/>
        </w:rPr>
      </w:pPr>
    </w:p>
    <w:p w14:paraId="779B2D0F">
      <w:pPr>
        <w:pStyle w:val="2"/>
        <w:keepNext w:val="0"/>
        <w:keepLines w:val="0"/>
        <w:pageBreakBefore w:val="0"/>
        <w:overflowPunct/>
        <w:topLinePunct w:val="0"/>
        <w:bidi w:val="0"/>
        <w:spacing w:after="0" w:line="560" w:lineRule="exact"/>
        <w:ind w:left="0" w:right="0" w:rightChars="0"/>
        <w:rPr>
          <w:rFonts w:hint="default"/>
          <w:lang w:val="en-US" w:eastAsia="zh-CN"/>
        </w:rPr>
      </w:pPr>
    </w:p>
    <w:p w14:paraId="704432EF">
      <w:pPr>
        <w:pStyle w:val="2"/>
        <w:keepNext w:val="0"/>
        <w:keepLines w:val="0"/>
        <w:pageBreakBefore w:val="0"/>
        <w:overflowPunct/>
        <w:topLinePunct w:val="0"/>
        <w:bidi w:val="0"/>
        <w:spacing w:after="0" w:line="560" w:lineRule="exact"/>
        <w:ind w:left="0" w:leftChars="0" w:right="0" w:rightChars="0" w:firstLine="0" w:firstLineChars="0"/>
        <w:rPr>
          <w:rFonts w:hint="default"/>
          <w:lang w:val="en-US" w:eastAsia="zh-CN"/>
        </w:rPr>
      </w:pPr>
    </w:p>
    <w:p w14:paraId="1928C2E1">
      <w:pPr>
        <w:pStyle w:val="2"/>
        <w:keepNext w:val="0"/>
        <w:keepLines w:val="0"/>
        <w:pageBreakBefore w:val="0"/>
        <w:overflowPunct/>
        <w:topLinePunct w:val="0"/>
        <w:bidi w:val="0"/>
        <w:spacing w:after="0" w:line="560" w:lineRule="exact"/>
        <w:ind w:left="0" w:right="0" w:rightChars="0"/>
        <w:rPr>
          <w:rFonts w:hint="default"/>
          <w:lang w:val="en-US" w:eastAsia="zh-CN"/>
        </w:rPr>
      </w:pPr>
    </w:p>
    <w:p w14:paraId="6969A0E2">
      <w:pPr>
        <w:pStyle w:val="2"/>
        <w:keepNext w:val="0"/>
        <w:keepLines w:val="0"/>
        <w:pageBreakBefore w:val="0"/>
        <w:overflowPunct/>
        <w:topLinePunct w:val="0"/>
        <w:bidi w:val="0"/>
        <w:spacing w:after="0" w:line="560" w:lineRule="exact"/>
        <w:ind w:left="0" w:right="0" w:rightChars="0"/>
        <w:rPr>
          <w:rFonts w:hint="default"/>
          <w:lang w:val="en-US" w:eastAsia="zh-CN"/>
        </w:rPr>
      </w:pPr>
    </w:p>
    <w:p w14:paraId="55CA580F">
      <w:pPr>
        <w:keepNext w:val="0"/>
        <w:keepLines w:val="0"/>
        <w:pageBreakBefore w:val="0"/>
        <w:overflowPunct/>
        <w:topLinePunct w:val="0"/>
        <w:bidi w:val="0"/>
        <w:spacing w:line="560" w:lineRule="exact"/>
        <w:ind w:right="0" w:rightChars="0"/>
        <w:rPr>
          <w:rFonts w:hint="eastAsia" w:ascii="方正仿宋_GBK" w:hAnsi="方正仿宋_GBK" w:eastAsia="方正仿宋_GBK" w:cs="方正仿宋_GBK"/>
          <w:snapToGrid w:val="0"/>
          <w:color w:val="000000"/>
          <w:kern w:val="0"/>
          <w:sz w:val="28"/>
          <w:szCs w:val="28"/>
          <w:u w:val="none"/>
          <w:lang w:val="en-US" w:eastAsia="zh-CN" w:bidi="ar-SA"/>
        </w:rPr>
      </w:pPr>
    </w:p>
    <w:p w14:paraId="7C35233F">
      <w:pPr>
        <w:keepNext w:val="0"/>
        <w:keepLines w:val="0"/>
        <w:pageBreakBefore w:val="0"/>
        <w:overflowPunct/>
        <w:topLinePunct w:val="0"/>
        <w:bidi w:val="0"/>
        <w:spacing w:line="560" w:lineRule="exact"/>
        <w:ind w:right="0" w:rightChars="0"/>
        <w:rPr>
          <w:rFonts w:hint="eastAsia" w:ascii="方正仿宋_GBK" w:hAnsi="方正仿宋_GBK" w:eastAsia="方正仿宋_GBK" w:cs="方正仿宋_GBK"/>
          <w:snapToGrid w:val="0"/>
          <w:color w:val="000000"/>
          <w:kern w:val="0"/>
          <w:sz w:val="28"/>
          <w:szCs w:val="28"/>
          <w:u w:val="none"/>
          <w:lang w:val="en-US" w:eastAsia="zh-CN" w:bidi="ar-SA"/>
        </w:rPr>
      </w:pPr>
    </w:p>
    <w:p w14:paraId="04BB078C">
      <w:pPr>
        <w:keepNext w:val="0"/>
        <w:keepLines w:val="0"/>
        <w:pageBreakBefore w:val="0"/>
        <w:overflowPunct/>
        <w:topLinePunct w:val="0"/>
        <w:bidi w:val="0"/>
        <w:spacing w:line="560" w:lineRule="exact"/>
        <w:ind w:right="0" w:rightChars="0"/>
        <w:rPr>
          <w:rFonts w:hint="eastAsia" w:ascii="方正仿宋_GBK" w:hAnsi="方正仿宋_GBK" w:eastAsia="方正仿宋_GBK" w:cs="方正仿宋_GBK"/>
          <w:snapToGrid w:val="0"/>
          <w:color w:val="000000"/>
          <w:kern w:val="0"/>
          <w:sz w:val="28"/>
          <w:szCs w:val="28"/>
          <w:u w:val="none"/>
          <w:lang w:val="en-US" w:eastAsia="zh-CN" w:bidi="ar-SA"/>
        </w:rPr>
      </w:pPr>
    </w:p>
    <w:p w14:paraId="7DD4EF4C">
      <w:pPr>
        <w:pStyle w:val="2"/>
        <w:keepNext w:val="0"/>
        <w:keepLines w:val="0"/>
        <w:pageBreakBefore w:val="0"/>
        <w:overflowPunct/>
        <w:topLinePunct w:val="0"/>
        <w:bidi w:val="0"/>
        <w:spacing w:after="0" w:line="560" w:lineRule="exact"/>
        <w:rPr>
          <w:rFonts w:hint="eastAsia" w:ascii="方正仿宋_GBK" w:hAnsi="方正仿宋_GBK" w:eastAsia="方正仿宋_GBK" w:cs="方正仿宋_GBK"/>
          <w:snapToGrid w:val="0"/>
          <w:color w:val="000000"/>
          <w:kern w:val="0"/>
          <w:sz w:val="28"/>
          <w:szCs w:val="28"/>
          <w:u w:val="none"/>
          <w:lang w:val="en-US" w:eastAsia="zh-CN" w:bidi="ar-SA"/>
        </w:rPr>
      </w:pPr>
    </w:p>
    <w:p w14:paraId="23948D91">
      <w:pPr>
        <w:pStyle w:val="2"/>
        <w:keepNext w:val="0"/>
        <w:keepLines w:val="0"/>
        <w:pageBreakBefore w:val="0"/>
        <w:overflowPunct/>
        <w:topLinePunct w:val="0"/>
        <w:bidi w:val="0"/>
        <w:spacing w:after="0" w:line="560" w:lineRule="exact"/>
        <w:rPr>
          <w:rFonts w:hint="eastAsia" w:ascii="方正仿宋_GBK" w:hAnsi="方正仿宋_GBK" w:eastAsia="方正仿宋_GBK" w:cs="方正仿宋_GBK"/>
          <w:snapToGrid w:val="0"/>
          <w:color w:val="000000"/>
          <w:kern w:val="0"/>
          <w:sz w:val="28"/>
          <w:szCs w:val="28"/>
          <w:u w:val="none"/>
          <w:lang w:val="en-US" w:eastAsia="zh-CN" w:bidi="ar-SA"/>
        </w:rPr>
      </w:pPr>
    </w:p>
    <w:p w14:paraId="4AE99E62">
      <w:pPr>
        <w:keepNext w:val="0"/>
        <w:keepLines w:val="0"/>
        <w:pageBreakBefore w:val="0"/>
        <w:overflowPunct/>
        <w:topLinePunct w:val="0"/>
        <w:bidi w:val="0"/>
        <w:spacing w:line="560" w:lineRule="exact"/>
        <w:ind w:right="0" w:rightChars="0"/>
        <w:rPr>
          <w:rFonts w:hint="eastAsia" w:ascii="方正仿宋_GBK" w:hAnsi="方正仿宋_GBK" w:eastAsia="方正仿宋_GBK" w:cs="方正仿宋_GBK"/>
          <w:snapToGrid w:val="0"/>
          <w:color w:val="000000"/>
          <w:kern w:val="0"/>
          <w:sz w:val="28"/>
          <w:szCs w:val="28"/>
          <w:u w:val="none"/>
          <w:lang w:val="en-US" w:eastAsia="zh-CN" w:bidi="ar-SA"/>
        </w:rPr>
      </w:pPr>
    </w:p>
    <w:sectPr>
      <w:headerReference r:id="rId5" w:type="default"/>
      <w:footerReference r:id="rId6" w:type="default"/>
      <w:pgSz w:w="11906" w:h="16838"/>
      <w:pgMar w:top="1871" w:right="1531" w:bottom="1984" w:left="1531" w:header="851" w:footer="992" w:gutter="0"/>
      <w:pgBorders>
        <w:top w:val="none" w:sz="0" w:space="0"/>
        <w:left w:val="none" w:sz="0" w:space="0"/>
        <w:bottom w:val="none" w:sz="0" w:space="0"/>
        <w:right w:val="none" w:sz="0" w:space="0"/>
      </w:pgBorders>
      <w:pgNumType w:fmt="decimal"/>
      <w:cols w:space="0" w:num="1"/>
      <w:rtlGutter w:val="0"/>
      <w:docGrid w:linePitch="59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705E66A-63AA-4FE5-9A2C-E095E5FD557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2" w:fontKey="{40D2782B-87EF-4044-B773-CC26979124A4}"/>
  </w:font>
  <w:font w:name="方正仿宋_GBK">
    <w:panose1 w:val="03000509000000000000"/>
    <w:charset w:val="86"/>
    <w:family w:val="auto"/>
    <w:pitch w:val="default"/>
    <w:sig w:usb0="00000001" w:usb1="080E0000" w:usb2="00000000" w:usb3="00000000" w:csb0="00040000" w:csb1="00000000"/>
    <w:embedRegular r:id="rId3" w:fontKey="{7E0799AB-1AEB-4EF7-B1C8-F1C9005DFBBD}"/>
  </w:font>
  <w:font w:name="方正黑体_GBK">
    <w:panose1 w:val="03000509000000000000"/>
    <w:charset w:val="86"/>
    <w:family w:val="auto"/>
    <w:pitch w:val="default"/>
    <w:sig w:usb0="00000001" w:usb1="080E0000" w:usb2="00000000" w:usb3="00000000" w:csb0="00040000" w:csb1="00000000"/>
    <w:embedRegular r:id="rId4" w:fontKey="{6B0FCB74-C116-4A14-9862-C158533421D5}"/>
  </w:font>
  <w:font w:name="方正楷体_GBK">
    <w:panose1 w:val="03000509000000000000"/>
    <w:charset w:val="86"/>
    <w:family w:val="auto"/>
    <w:pitch w:val="default"/>
    <w:sig w:usb0="00000001" w:usb1="080E0000" w:usb2="00000000" w:usb3="00000000" w:csb0="00040000" w:csb1="00000000"/>
    <w:embedRegular r:id="rId5" w:fontKey="{71C329FC-61AF-435F-9226-B80659592207}"/>
  </w:font>
  <w:font w:name="仿宋">
    <w:panose1 w:val="02010609060101010101"/>
    <w:charset w:val="86"/>
    <w:family w:val="auto"/>
    <w:pitch w:val="default"/>
    <w:sig w:usb0="800002BF" w:usb1="38CF7CFA" w:usb2="00000016" w:usb3="00000000" w:csb0="00040001" w:csb1="00000000"/>
    <w:embedRegular r:id="rId6" w:fontKey="{92EEEF6B-7CD4-4C91-BD08-AF45487550A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DD1E6">
    <w:pPr>
      <w:pStyle w:val="10"/>
      <w:kinsoku/>
      <w:autoSpaceDE/>
      <w:autoSpaceDN/>
      <w:adjustRightInd/>
      <w:spacing w:line="240" w:lineRule="auto"/>
      <w:jc w:val="center"/>
      <w:textAlignment w:val="auto"/>
      <w:rPr>
        <w:rFonts w:ascii="Times New Roman" w:hAnsi="Times New Roman" w:eastAsia="宋体" w:cs="Times New Roman"/>
        <w:snapToGrid/>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B403">
    <w:pPr>
      <w:pStyle w:val="11"/>
      <w:pBdr>
        <w:bottom w:val="none" w:color="auto" w:sz="0" w:space="1"/>
      </w:pBdr>
      <w:kinsoku/>
      <w:autoSpaceDE/>
      <w:autoSpaceDN/>
      <w:adjustRightInd/>
      <w:spacing w:line="240" w:lineRule="auto"/>
      <w:textAlignment w:val="auto"/>
      <w:rPr>
        <w:rFonts w:ascii="Times New Roman" w:hAnsi="Times New Roman" w:eastAsia="宋体" w:cs="Times New Roman"/>
        <w:snapToGri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lZjU4MDViY2MwY2MzNzgyYmYxZjIxMzUzZTlmMmYifQ=="/>
  </w:docVars>
  <w:rsids>
    <w:rsidRoot w:val="3A7C2A74"/>
    <w:rsid w:val="041800B5"/>
    <w:rsid w:val="050E3CE6"/>
    <w:rsid w:val="061E3DB6"/>
    <w:rsid w:val="0A1D7496"/>
    <w:rsid w:val="0A8C2E5F"/>
    <w:rsid w:val="1ABB0114"/>
    <w:rsid w:val="1B256297"/>
    <w:rsid w:val="1BAB4638"/>
    <w:rsid w:val="1BDA4AC1"/>
    <w:rsid w:val="24512859"/>
    <w:rsid w:val="245E0E58"/>
    <w:rsid w:val="25FF3A45"/>
    <w:rsid w:val="27BD701C"/>
    <w:rsid w:val="2B6A5A2B"/>
    <w:rsid w:val="2B6A5CC1"/>
    <w:rsid w:val="2CCC6994"/>
    <w:rsid w:val="2D247068"/>
    <w:rsid w:val="2E530CBA"/>
    <w:rsid w:val="2F885F1B"/>
    <w:rsid w:val="2FAA2B11"/>
    <w:rsid w:val="31434890"/>
    <w:rsid w:val="33510B63"/>
    <w:rsid w:val="34AF4725"/>
    <w:rsid w:val="358B6F41"/>
    <w:rsid w:val="39DA612C"/>
    <w:rsid w:val="3A7C2A74"/>
    <w:rsid w:val="3A970057"/>
    <w:rsid w:val="3E7105D4"/>
    <w:rsid w:val="415229BC"/>
    <w:rsid w:val="42247531"/>
    <w:rsid w:val="42D706C5"/>
    <w:rsid w:val="44177A69"/>
    <w:rsid w:val="4BC77D57"/>
    <w:rsid w:val="4C970180"/>
    <w:rsid w:val="4D45010E"/>
    <w:rsid w:val="4FC9093A"/>
    <w:rsid w:val="54CC7451"/>
    <w:rsid w:val="56A52A41"/>
    <w:rsid w:val="57DE5FF4"/>
    <w:rsid w:val="59017E51"/>
    <w:rsid w:val="592F5306"/>
    <w:rsid w:val="5B2F1F99"/>
    <w:rsid w:val="5CCB1DC6"/>
    <w:rsid w:val="5F2D6262"/>
    <w:rsid w:val="5FD02E89"/>
    <w:rsid w:val="61FE220F"/>
    <w:rsid w:val="675D43F3"/>
    <w:rsid w:val="6A293A8A"/>
    <w:rsid w:val="6FF77132"/>
    <w:rsid w:val="7037282D"/>
    <w:rsid w:val="75FD4F4A"/>
    <w:rsid w:val="791D5FA2"/>
    <w:rsid w:val="79D7274E"/>
    <w:rsid w:val="7AB51C94"/>
    <w:rsid w:val="7B73403A"/>
    <w:rsid w:val="7BA10107"/>
    <w:rsid w:val="7C6E648D"/>
    <w:rsid w:val="7CD9232F"/>
    <w:rsid w:val="7EC565EC"/>
    <w:rsid w:val="7EC87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4">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5">
    <w:name w:val="heading 4"/>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BodyText1I"/>
    <w:basedOn w:val="3"/>
    <w:qFormat/>
    <w:uiPriority w:val="0"/>
    <w:pPr>
      <w:ind w:firstLine="420" w:firstLineChars="100"/>
    </w:pPr>
    <w:rPr>
      <w:sz w:val="28"/>
      <w:szCs w:val="20"/>
    </w:rPr>
  </w:style>
  <w:style w:type="paragraph" w:customStyle="1" w:styleId="3">
    <w:name w:val="BodyText"/>
    <w:basedOn w:val="1"/>
    <w:qFormat/>
    <w:uiPriority w:val="0"/>
    <w:pPr>
      <w:spacing w:after="120"/>
    </w:pPr>
    <w:rPr>
      <w:szCs w:val="21"/>
    </w:rPr>
  </w:style>
  <w:style w:type="paragraph" w:styleId="6">
    <w:name w:val="Normal Indent"/>
    <w:basedOn w:val="1"/>
    <w:next w:val="1"/>
    <w:qFormat/>
    <w:uiPriority w:val="0"/>
    <w:pPr>
      <w:spacing w:line="360" w:lineRule="auto"/>
      <w:ind w:firstLine="420"/>
    </w:pPr>
    <w:rPr>
      <w:rFonts w:ascii="方正仿宋简体" w:hAnsi="方正仿宋简体" w:eastAsia="方正仿宋简体"/>
      <w:szCs w:val="20"/>
    </w:rPr>
  </w:style>
  <w:style w:type="paragraph" w:styleId="7">
    <w:name w:val="Body Text"/>
    <w:basedOn w:val="1"/>
    <w:qFormat/>
    <w:uiPriority w:val="0"/>
    <w:pPr>
      <w:spacing w:after="120"/>
    </w:pPr>
  </w:style>
  <w:style w:type="paragraph" w:styleId="8">
    <w:name w:val="Body Text Indent"/>
    <w:qFormat/>
    <w:uiPriority w:val="0"/>
    <w:pPr>
      <w:widowControl w:val="0"/>
      <w:spacing w:after="120"/>
      <w:ind w:left="420" w:leftChars="200"/>
      <w:jc w:val="both"/>
    </w:pPr>
    <w:rPr>
      <w:rFonts w:ascii="Times New Roman" w:hAnsi="Times New Roman" w:eastAsia="宋体" w:cs="Times New Roman"/>
      <w:kern w:val="2"/>
      <w:sz w:val="24"/>
      <w:szCs w:val="24"/>
      <w:lang w:val="en-US" w:eastAsia="zh-CN" w:bidi="ar-SA"/>
    </w:rPr>
  </w:style>
  <w:style w:type="paragraph" w:styleId="9">
    <w:name w:val="Plain Text"/>
    <w:basedOn w:val="1"/>
    <w:qFormat/>
    <w:uiPriority w:val="0"/>
    <w:rPr>
      <w:rFonts w:ascii="宋体" w:hAnsi="Courier New" w:cs="Courier New"/>
      <w:szCs w:val="21"/>
    </w:rPr>
  </w:style>
  <w:style w:type="paragraph" w:styleId="10">
    <w:name w:val="footer"/>
    <w:basedOn w:val="1"/>
    <w:unhideWhenUsed/>
    <w:qFormat/>
    <w:uiPriority w:val="99"/>
    <w:pPr>
      <w:widowControl w:val="0"/>
      <w:tabs>
        <w:tab w:val="center" w:pos="4153"/>
        <w:tab w:val="right" w:pos="8306"/>
      </w:tabs>
      <w:snapToGrid w:val="0"/>
      <w:jc w:val="left"/>
    </w:pPr>
    <w:rPr>
      <w:rFonts w:ascii="Times New Roman" w:hAnsi="Times New Roman" w:eastAsia="宋体" w:cs="Times New Roman"/>
      <w:kern w:val="0"/>
      <w:sz w:val="18"/>
      <w:szCs w:val="18"/>
      <w:lang w:val="en-US" w:eastAsia="zh-CN" w:bidi="ar-SA"/>
    </w:rPr>
  </w:style>
  <w:style w:type="paragraph" w:styleId="11">
    <w:name w:val="header"/>
    <w:basedOn w:val="1"/>
    <w:unhideWhenUsed/>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lang w:val="en-US" w:eastAsia="zh-CN" w:bidi="ar-SA"/>
    </w:rPr>
  </w:style>
  <w:style w:type="paragraph" w:styleId="12">
    <w:name w:val="Body Text First Indent 2"/>
    <w:qFormat/>
    <w:uiPriority w:val="0"/>
    <w:pPr>
      <w:widowControl w:val="0"/>
      <w:tabs>
        <w:tab w:val="decimal" w:pos="0"/>
      </w:tabs>
      <w:spacing w:after="120" w:afterLines="0" w:line="240" w:lineRule="auto"/>
      <w:ind w:left="420" w:leftChars="200" w:firstLine="420" w:firstLineChars="200"/>
      <w:jc w:val="both"/>
    </w:pPr>
    <w:rPr>
      <w:rFonts w:ascii="Times New Roman" w:hAnsi="Times New Roman" w:eastAsia="宋体" w:cs="Times New Roman"/>
      <w:spacing w:val="0"/>
      <w:kern w:val="2"/>
      <w:sz w:val="21"/>
      <w:szCs w:val="24"/>
      <w:lang w:val="en-US" w:eastAsia="zh-CN" w:bidi="ar-SA"/>
    </w:rPr>
  </w:style>
  <w:style w:type="paragraph" w:customStyle="1" w:styleId="15">
    <w:name w:val="Table Text"/>
    <w:basedOn w:val="1"/>
    <w:semiHidden/>
    <w:qFormat/>
    <w:uiPriority w:val="0"/>
    <w:rPr>
      <w:rFonts w:ascii="宋体" w:hAnsi="宋体" w:eastAsia="宋体" w:cs="宋体"/>
      <w:sz w:val="22"/>
      <w:szCs w:val="22"/>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x正文"/>
    <w:qFormat/>
    <w:uiPriority w:val="0"/>
    <w:pPr>
      <w:widowControl w:val="0"/>
      <w:autoSpaceDE w:val="0"/>
      <w:autoSpaceDN w:val="0"/>
      <w:snapToGrid w:val="0"/>
      <w:spacing w:line="360" w:lineRule="auto"/>
      <w:ind w:firstLine="200" w:firstLineChars="200"/>
      <w:jc w:val="both"/>
      <w:textAlignment w:val="center"/>
    </w:pPr>
    <w:rPr>
      <w:rFonts w:ascii="Times New Roman" w:hAnsi="Times New Roman" w:eastAsia="仿宋_GB2312" w:cs="宋体"/>
      <w:sz w:val="24"/>
      <w:szCs w:val="24"/>
      <w:lang w:val="en-US" w:eastAsia="zh-CN" w:bidi="ar-SA"/>
    </w:rPr>
  </w:style>
  <w:style w:type="paragraph" w:customStyle="1" w:styleId="18">
    <w:name w:val="报告正文"/>
    <w:qFormat/>
    <w:uiPriority w:val="0"/>
    <w:pPr>
      <w:widowControl w:val="0"/>
      <w:adjustRightInd w:val="0"/>
      <w:snapToGrid w:val="0"/>
      <w:spacing w:line="300" w:lineRule="auto"/>
      <w:jc w:val="both"/>
    </w:pPr>
    <w:rPr>
      <w:rFonts w:ascii="宋体" w:hAnsi="Times New Roman" w:eastAsia="宋体" w:cs="Times New Roman"/>
      <w:kern w:val="2"/>
      <w:sz w:val="28"/>
      <w:szCs w:val="20"/>
      <w:lang w:val="en-US" w:eastAsia="zh-CN" w:bidi="ar-SA"/>
    </w:rPr>
  </w:style>
  <w:style w:type="paragraph" w:customStyle="1" w:styleId="19">
    <w:name w:val="Table Paragraph"/>
    <w:basedOn w:val="1"/>
    <w:qFormat/>
    <w:uiPriority w:val="1"/>
    <w:pPr>
      <w:jc w:val="center"/>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6f787666-a799-41e9-b768-3ec23c5ef9a6</errorID>
      <errorWord>)</errorWord>
      <group>L1_Format</group>
      <groupName>格式问题</groupName>
      <ability>L2_HalfPunc_CN</ability>
      <abilityName>全半角问题</abilityName>
      <candidateList>
        <item>）</item>
      </candidateList>
      <explain>文本全半角错误。</explain>
      <paraID>375521A1</paraID>
      <start>63</start>
      <end>64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a3608e0b-aa3e-4f52-9416-b9309ad559c7}">
  <ds:schemaRefs/>
</ds:datastoreItem>
</file>

<file path=docProps/app.xml><?xml version="1.0" encoding="utf-8"?>
<Properties xmlns="http://schemas.openxmlformats.org/officeDocument/2006/extended-properties" xmlns:vt="http://schemas.openxmlformats.org/officeDocument/2006/docPropsVTypes">
  <Template>Normal.dotm</Template>
  <Pages>9</Pages>
  <Words>2954</Words>
  <Characters>3556</Characters>
  <Lines>0</Lines>
  <Paragraphs>0</Paragraphs>
  <TotalTime>1</TotalTime>
  <ScaleCrop>false</ScaleCrop>
  <LinksUpToDate>false</LinksUpToDate>
  <CharactersWithSpaces>3593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2024-08-22T03:10:00Z</dcterms:created>
  <dc:creator></dc:creator>
  <cp:lastModifiedBy>觉伦图尔根</cp:lastModifiedBy>
  <cp:lastPrinted>2026-06-23T03:54:00Z</cp:lastPrinted>
  <dcterms:modified xsi:type="dcterms:W3CDTF">2026-06-23T04:20:17Z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8F6E82C1B490444B8EF87E0426EE96DA_13</vt:lpwstr>
  </property>
  <property fmtid="{D5CDD505-2E9C-101B-9397-08002B2CF9AE}" pid="4" name="KSOTemplateDocerSaveRecord">
    <vt:lpwstr>eyJoZGlkIjoiMzI0OWRiMTZiMzRmNjNlMGUwZWQ4OTZmMWRjYmExZDUiLCJ1c2VySWQiOiI1MDE5NjM2MjYifQ==</vt:lpwstr>
  </property>
</Properties>
</file>