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附件5：</w:t>
      </w: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pacing w:val="0"/>
          <w:sz w:val="28"/>
          <w:szCs w:val="28"/>
          <w:lang w:val="en-US" w:eastAsia="zh-CN"/>
        </w:rPr>
        <w:t>2026年和静县纸杯产品质量监督抽查方案</w:t>
      </w:r>
    </w:p>
    <w:p>
      <w:pPr>
        <w:adjustRightInd w:val="0"/>
        <w:snapToGrid w:val="0"/>
        <w:spacing w:line="360" w:lineRule="auto"/>
        <w:rPr>
          <w:b/>
          <w:bCs/>
          <w:color w:val="000000"/>
          <w:szCs w:val="21"/>
        </w:rPr>
      </w:pPr>
      <w:r>
        <w:rPr>
          <w:b/>
          <w:bCs/>
          <w:color w:val="000000"/>
          <w:szCs w:val="21"/>
        </w:rPr>
        <w:t>一、抽样方式</w:t>
      </w:r>
    </w:p>
    <w:p>
      <w:pPr>
        <w:spacing w:line="360" w:lineRule="auto"/>
        <w:jc w:val="left"/>
        <w:rPr>
          <w:bCs/>
          <w:szCs w:val="21"/>
        </w:rPr>
      </w:pPr>
      <w:r>
        <w:rPr>
          <w:bCs/>
          <w:szCs w:val="21"/>
        </w:rPr>
        <w:t>（一）抽样领域</w:t>
      </w:r>
    </w:p>
    <w:p>
      <w:pPr>
        <w:spacing w:line="360" w:lineRule="auto"/>
        <w:ind w:firstLine="420" w:firstLineChars="200"/>
        <w:jc w:val="left"/>
        <w:rPr>
          <w:bCs/>
          <w:szCs w:val="21"/>
        </w:rPr>
      </w:pPr>
      <w:r>
        <w:rPr>
          <w:bCs/>
          <w:szCs w:val="21"/>
        </w:rPr>
        <w:t>流通领域（实体店）</w:t>
      </w:r>
    </w:p>
    <w:p>
      <w:pPr>
        <w:spacing w:line="360" w:lineRule="auto"/>
        <w:jc w:val="left"/>
        <w:rPr>
          <w:bCs/>
          <w:szCs w:val="21"/>
        </w:rPr>
      </w:pPr>
      <w:r>
        <w:rPr>
          <w:bCs/>
          <w:szCs w:val="21"/>
        </w:rPr>
        <w:t>（二）样品型号或规格</w:t>
      </w:r>
    </w:p>
    <w:p>
      <w:pPr>
        <w:spacing w:line="360" w:lineRule="auto"/>
        <w:ind w:firstLine="420" w:firstLineChars="200"/>
        <w:jc w:val="left"/>
        <w:rPr>
          <w:bCs/>
          <w:szCs w:val="21"/>
        </w:rPr>
      </w:pPr>
      <w:r>
        <w:rPr>
          <w:bCs/>
          <w:szCs w:val="21"/>
        </w:rPr>
        <w:t>抽取样品应为同一生产者按照同一标准生产的同一商标、同一规格型号的产品。</w:t>
      </w:r>
    </w:p>
    <w:p>
      <w:pPr>
        <w:adjustRightInd w:val="0"/>
        <w:snapToGrid w:val="0"/>
        <w:spacing w:line="360" w:lineRule="auto"/>
        <w:ind w:firstLine="420" w:firstLineChars="200"/>
        <w:rPr>
          <w:bCs/>
          <w:szCs w:val="21"/>
        </w:rPr>
      </w:pPr>
      <w:r>
        <w:rPr>
          <w:rFonts w:hint="eastAsia" w:ascii="宋体" w:hAnsi="宋体"/>
          <w:szCs w:val="21"/>
        </w:rPr>
        <w:t>如存在多个规格型号可以抽取的，优先抽取企业主导产品。</w:t>
      </w:r>
    </w:p>
    <w:p>
      <w:pPr>
        <w:spacing w:line="360" w:lineRule="auto"/>
        <w:jc w:val="left"/>
        <w:rPr>
          <w:bCs/>
          <w:szCs w:val="21"/>
        </w:rPr>
      </w:pPr>
      <w:r>
        <w:rPr>
          <w:bCs/>
          <w:szCs w:val="21"/>
        </w:rPr>
        <w:t>（三）抽样方法和数量</w:t>
      </w:r>
    </w:p>
    <w:p>
      <w:pPr>
        <w:spacing w:line="360" w:lineRule="auto"/>
        <w:ind w:left="1" w:firstLine="420" w:firstLineChars="200"/>
        <w:rPr>
          <w:szCs w:val="21"/>
        </w:rPr>
      </w:pPr>
      <w:r>
        <w:rPr>
          <w:bCs/>
          <w:szCs w:val="21"/>
        </w:rPr>
        <w:t>随机抽取有产品质量检验合格证明或者以其他形式表明合格的、近期生产</w:t>
      </w:r>
      <w:r>
        <w:rPr>
          <w:szCs w:val="21"/>
        </w:rPr>
        <w:t>的产品（抽取的样品保质期应满足抽样、检验及异议处理时间要求，原则上距离失效日期不少于半年）。</w:t>
      </w:r>
    </w:p>
    <w:p>
      <w:pPr>
        <w:spacing w:line="360" w:lineRule="auto"/>
        <w:ind w:left="1" w:firstLine="420" w:firstLineChars="200"/>
        <w:jc w:val="center"/>
        <w:rPr>
          <w:rFonts w:hint="default" w:eastAsia="宋体"/>
          <w:szCs w:val="21"/>
          <w:lang w:val="en-US" w:eastAsia="zh-CN"/>
        </w:rPr>
      </w:pPr>
      <w:r>
        <w:rPr>
          <w:rFonts w:hint="eastAsia"/>
          <w:szCs w:val="21"/>
          <w:lang w:val="en-US" w:eastAsia="zh-CN"/>
        </w:rPr>
        <w:t>表1 抽样数量</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905"/>
        <w:gridCol w:w="2730"/>
        <w:gridCol w:w="174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1010"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序号</w:t>
            </w:r>
          </w:p>
        </w:tc>
        <w:tc>
          <w:tcPr>
            <w:tcW w:w="1905"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产品名称</w:t>
            </w:r>
          </w:p>
        </w:tc>
        <w:tc>
          <w:tcPr>
            <w:tcW w:w="2730" w:type="dxa"/>
            <w:noWrap w:val="0"/>
            <w:vAlign w:val="center"/>
          </w:tcPr>
          <w:p>
            <w:pPr>
              <w:autoSpaceDE w:val="0"/>
              <w:autoSpaceDN w:val="0"/>
              <w:adjustRightInd w:val="0"/>
              <w:snapToGrid w:val="0"/>
              <w:jc w:val="center"/>
              <w:rPr>
                <w:rFonts w:ascii="Times New Roman" w:hAnsi="Times New Roman" w:cs="Times New Roman"/>
                <w:color w:val="000000"/>
                <w:kern w:val="0"/>
              </w:rPr>
            </w:pPr>
            <w:r>
              <w:rPr>
                <w:rFonts w:ascii="Times New Roman" w:hAnsi="Times New Roman" w:cs="Times New Roman"/>
                <w:color w:val="000000"/>
                <w:kern w:val="0"/>
              </w:rPr>
              <w:t>抽样数量</w:t>
            </w:r>
            <w:r>
              <w:rPr>
                <w:rFonts w:hint="eastAsia" w:ascii="Times New Roman" w:hAnsi="Times New Roman" w:cs="Times New Roman"/>
                <w:color w:val="000000"/>
                <w:kern w:val="0"/>
              </w:rPr>
              <w:t>（只/支）</w:t>
            </w:r>
          </w:p>
        </w:tc>
        <w:tc>
          <w:tcPr>
            <w:tcW w:w="1747" w:type="dxa"/>
            <w:noWrap w:val="0"/>
            <w:vAlign w:val="center"/>
          </w:tcPr>
          <w:p>
            <w:pPr>
              <w:snapToGrid w:val="0"/>
              <w:jc w:val="center"/>
              <w:rPr>
                <w:rFonts w:ascii="Times New Roman" w:hAnsi="Times New Roman" w:cs="Times New Roman"/>
                <w:color w:val="000000"/>
                <w:kern w:val="0"/>
              </w:rPr>
            </w:pPr>
            <w:r>
              <w:rPr>
                <w:rFonts w:ascii="Times New Roman" w:hAnsi="Times New Roman" w:cs="Times New Roman"/>
                <w:color w:val="000000"/>
              </w:rPr>
              <w:t>检验样品数量</w:t>
            </w:r>
            <w:r>
              <w:rPr>
                <w:rFonts w:hint="eastAsia" w:ascii="Times New Roman" w:hAnsi="Times New Roman" w:cs="Times New Roman"/>
                <w:color w:val="000000"/>
                <w:kern w:val="0"/>
              </w:rPr>
              <w:t>（只/支）</w:t>
            </w:r>
          </w:p>
        </w:tc>
        <w:tc>
          <w:tcPr>
            <w:tcW w:w="1680" w:type="dxa"/>
            <w:noWrap w:val="0"/>
            <w:vAlign w:val="center"/>
          </w:tcPr>
          <w:p>
            <w:pPr>
              <w:snapToGrid w:val="0"/>
              <w:jc w:val="center"/>
              <w:rPr>
                <w:rFonts w:ascii="Times New Roman" w:hAnsi="Times New Roman" w:cs="Times New Roman"/>
                <w:color w:val="000000"/>
                <w:kern w:val="0"/>
              </w:rPr>
            </w:pPr>
            <w:r>
              <w:rPr>
                <w:rFonts w:ascii="Times New Roman" w:hAnsi="Times New Roman" w:cs="Times New Roman"/>
                <w:color w:val="000000"/>
              </w:rPr>
              <w:t>备用样品数量</w:t>
            </w:r>
            <w:r>
              <w:rPr>
                <w:rFonts w:hint="eastAsia" w:ascii="Times New Roman" w:hAnsi="Times New Roman" w:cs="Times New Roman"/>
                <w:color w:val="000000"/>
                <w:kern w:val="0"/>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10"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ascii="Times New Roman" w:hAnsi="Times New Roman" w:cs="Times New Roman"/>
                <w:color w:val="000000"/>
                <w:kern w:val="0"/>
                <w:lang w:val="en-US" w:eastAsia="zh-CN"/>
              </w:rPr>
              <w:t>1</w:t>
            </w:r>
          </w:p>
        </w:tc>
        <w:tc>
          <w:tcPr>
            <w:tcW w:w="1905" w:type="dxa"/>
            <w:noWrap w:val="0"/>
            <w:vAlign w:val="center"/>
          </w:tcPr>
          <w:p>
            <w:pPr>
              <w:autoSpaceDE w:val="0"/>
              <w:autoSpaceDN w:val="0"/>
              <w:adjustRightInd w:val="0"/>
              <w:snapToGrid w:val="0"/>
              <w:jc w:val="center"/>
              <w:rPr>
                <w:rFonts w:hint="eastAsia" w:ascii="Times New Roman" w:hAnsi="Times New Roman" w:eastAsia="宋体" w:cs="Times New Roman"/>
                <w:color w:val="000000"/>
                <w:kern w:val="0"/>
                <w:lang w:val="en-US" w:eastAsia="zh-CN"/>
              </w:rPr>
            </w:pPr>
            <w:r>
              <w:rPr>
                <w:rFonts w:hint="eastAsia" w:ascii="Times New Roman" w:hAnsi="Times New Roman" w:cs="Times New Roman"/>
                <w:color w:val="000000"/>
                <w:kern w:val="0"/>
                <w:lang w:val="en-US" w:eastAsia="zh-CN"/>
              </w:rPr>
              <w:t>纸杯</w:t>
            </w:r>
          </w:p>
        </w:tc>
        <w:tc>
          <w:tcPr>
            <w:tcW w:w="2730"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ascii="Times New Roman" w:hAnsi="Times New Roman" w:cs="Times New Roman"/>
                <w:color w:val="000000"/>
                <w:kern w:val="0"/>
                <w:lang w:val="en-US" w:eastAsia="zh-CN"/>
              </w:rPr>
              <w:t>100</w:t>
            </w:r>
          </w:p>
        </w:tc>
        <w:tc>
          <w:tcPr>
            <w:tcW w:w="1747"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ascii="Times New Roman" w:hAnsi="Times New Roman" w:cs="Times New Roman"/>
                <w:color w:val="000000"/>
                <w:kern w:val="0"/>
                <w:lang w:val="en-US" w:eastAsia="zh-CN"/>
              </w:rPr>
              <w:t>50</w:t>
            </w:r>
          </w:p>
        </w:tc>
        <w:tc>
          <w:tcPr>
            <w:tcW w:w="1680" w:type="dxa"/>
            <w:noWrap w:val="0"/>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ascii="Times New Roman" w:hAnsi="Times New Roman" w:cs="Times New Roman"/>
                <w:color w:val="000000"/>
                <w:kern w:val="0"/>
                <w:lang w:val="en-US" w:eastAsia="zh-CN"/>
              </w:rPr>
              <w:t>50</w:t>
            </w:r>
          </w:p>
        </w:tc>
      </w:tr>
    </w:tbl>
    <w:p>
      <w:pPr>
        <w:spacing w:line="360" w:lineRule="auto"/>
        <w:jc w:val="left"/>
        <w:rPr>
          <w:bCs/>
          <w:szCs w:val="21"/>
        </w:rPr>
      </w:pPr>
      <w:r>
        <w:rPr>
          <w:bCs/>
          <w:szCs w:val="21"/>
        </w:rPr>
        <w:t>（四）样品要求</w:t>
      </w:r>
    </w:p>
    <w:p>
      <w:pPr>
        <w:spacing w:line="360" w:lineRule="auto"/>
        <w:ind w:firstLine="420" w:firstLineChars="200"/>
        <w:jc w:val="left"/>
        <w:rPr>
          <w:bCs/>
          <w:szCs w:val="21"/>
        </w:rPr>
      </w:pPr>
      <w:r>
        <w:rPr>
          <w:bCs/>
          <w:szCs w:val="21"/>
        </w:rPr>
        <w:t>本次抽取样品</w:t>
      </w:r>
      <w:r>
        <w:rPr>
          <w:rFonts w:hint="eastAsia"/>
          <w:bCs/>
          <w:szCs w:val="21"/>
        </w:rPr>
        <w:t>为</w:t>
      </w:r>
      <w:r>
        <w:rPr>
          <w:rFonts w:hint="eastAsia"/>
          <w:bCs/>
          <w:szCs w:val="21"/>
          <w:lang w:val="en-US" w:eastAsia="zh-CN"/>
        </w:rPr>
        <w:t>食品接触用纸包装及容器制品产品</w:t>
      </w:r>
      <w:r>
        <w:rPr>
          <w:bCs/>
          <w:szCs w:val="21"/>
        </w:rPr>
        <w:t>。</w:t>
      </w:r>
    </w:p>
    <w:p>
      <w:pPr>
        <w:spacing w:line="360" w:lineRule="auto"/>
        <w:ind w:firstLine="420" w:firstLineChars="200"/>
        <w:jc w:val="left"/>
        <w:rPr>
          <w:rFonts w:hint="eastAsia" w:ascii="Times New Roman" w:hAnsi="Times New Roman" w:eastAsia="宋体" w:cs="Times New Roman"/>
          <w:bCs/>
          <w:szCs w:val="21"/>
          <w:lang w:val="en-US" w:eastAsia="zh-CN"/>
        </w:rPr>
      </w:pPr>
      <w:r>
        <w:rPr>
          <w:rFonts w:hint="eastAsia"/>
          <w:bCs/>
          <w:szCs w:val="21"/>
        </w:rPr>
        <w:t>可抽查的具体产品种类</w:t>
      </w:r>
      <w:r>
        <w:rPr>
          <w:rFonts w:hint="eastAsia"/>
          <w:bCs/>
          <w:szCs w:val="21"/>
          <w:lang w:eastAsia="zh-CN"/>
        </w:rPr>
        <w:t>：</w:t>
      </w:r>
      <w:r>
        <w:rPr>
          <w:rFonts w:hint="eastAsia" w:ascii="Times New Roman" w:hAnsi="Times New Roman" w:eastAsia="宋体" w:cs="Times New Roman"/>
          <w:bCs/>
          <w:szCs w:val="21"/>
          <w:lang w:val="en-US" w:eastAsia="zh-CN"/>
        </w:rPr>
        <w:t xml:space="preserve">纸杯产品。       </w:t>
      </w:r>
    </w:p>
    <w:p>
      <w:pPr>
        <w:spacing w:line="360" w:lineRule="auto"/>
        <w:jc w:val="left"/>
        <w:rPr>
          <w:bCs/>
          <w:szCs w:val="21"/>
        </w:rPr>
      </w:pPr>
      <w:r>
        <w:rPr>
          <w:bCs/>
          <w:szCs w:val="21"/>
        </w:rPr>
        <w:t>（</w:t>
      </w:r>
      <w:r>
        <w:rPr>
          <w:rFonts w:hint="eastAsia"/>
          <w:bCs/>
          <w:szCs w:val="21"/>
          <w:lang w:val="en-US" w:eastAsia="zh-CN"/>
        </w:rPr>
        <w:t>五</w:t>
      </w:r>
      <w:r>
        <w:rPr>
          <w:bCs/>
          <w:szCs w:val="21"/>
        </w:rPr>
        <w:t>）抽样形式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bCs/>
          <w:szCs w:val="21"/>
        </w:rPr>
      </w:pPr>
      <w:r>
        <w:rPr>
          <w:bCs/>
          <w:szCs w:val="21"/>
        </w:rPr>
        <w:t>流通领域（实体店）：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bCs/>
          <w:szCs w:val="21"/>
        </w:rPr>
      </w:pPr>
      <w:r>
        <w:rPr>
          <w:rFonts w:ascii="宋体" w:hAnsi="宋体"/>
          <w:szCs w:val="21"/>
        </w:rPr>
        <w:t>实体店抽样时，原则上</w:t>
      </w:r>
      <w:r>
        <w:rPr>
          <w:rFonts w:hint="eastAsia" w:ascii="宋体" w:hAnsi="宋体"/>
          <w:szCs w:val="21"/>
        </w:rPr>
        <w:t>应覆盖全区</w:t>
      </w:r>
      <w:r>
        <w:rPr>
          <w:rFonts w:ascii="宋体" w:hAnsi="宋体"/>
          <w:szCs w:val="21"/>
        </w:rPr>
        <w:t>。</w:t>
      </w:r>
      <w:r>
        <w:rPr>
          <w:rFonts w:hint="eastAsia" w:ascii="宋体" w:hAnsi="宋体"/>
          <w:szCs w:val="21"/>
        </w:rPr>
        <w:t>所</w:t>
      </w:r>
      <w:r>
        <w:rPr>
          <w:rFonts w:ascii="宋体" w:hAnsi="宋体"/>
          <w:szCs w:val="21"/>
        </w:rPr>
        <w:t>选取的受检单位应覆盖大型、中型、小型销售者。</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b/>
          <w:bCs/>
          <w:color w:val="000000"/>
          <w:szCs w:val="21"/>
        </w:rPr>
      </w:pPr>
      <w:r>
        <w:rPr>
          <w:b/>
          <w:bCs/>
          <w:color w:val="000000"/>
          <w:szCs w:val="21"/>
        </w:rPr>
        <w:t>二、企业生产规模划分</w:t>
      </w:r>
    </w:p>
    <w:p>
      <w:pPr>
        <w:spacing w:line="360" w:lineRule="auto"/>
        <w:ind w:firstLine="420" w:firstLineChars="200"/>
        <w:jc w:val="left"/>
        <w:rPr>
          <w:bCs/>
          <w:szCs w:val="21"/>
        </w:rPr>
      </w:pPr>
      <w:r>
        <w:rPr>
          <w:bCs/>
          <w:szCs w:val="21"/>
        </w:rPr>
        <w:t>按照国家统计局《统计上大中小微型企业划分办法》划分。</w:t>
      </w:r>
    </w:p>
    <w:p>
      <w:pPr>
        <w:spacing w:line="360" w:lineRule="auto"/>
        <w:jc w:val="center"/>
        <w:rPr>
          <w:bCs/>
          <w:szCs w:val="21"/>
        </w:rPr>
      </w:pPr>
      <w:r>
        <w:rPr>
          <w:bCs/>
          <w:szCs w:val="21"/>
        </w:rPr>
        <w:t>表</w:t>
      </w:r>
      <w:r>
        <w:rPr>
          <w:rFonts w:hint="eastAsia"/>
          <w:bCs/>
          <w:szCs w:val="21"/>
          <w:lang w:val="en-US" w:eastAsia="zh-CN"/>
        </w:rPr>
        <w:t>2</w:t>
      </w:r>
      <w:r>
        <w:rPr>
          <w:bCs/>
          <w:szCs w:val="21"/>
        </w:rPr>
        <w:t xml:space="preserve"> 企业生产规模划分方法</w:t>
      </w:r>
    </w:p>
    <w:tbl>
      <w:tblPr>
        <w:tblStyle w:val="8"/>
        <w:tblW w:w="0" w:type="auto"/>
        <w:jc w:val="center"/>
        <w:tblLayout w:type="fixed"/>
        <w:tblCellMar>
          <w:top w:w="0" w:type="dxa"/>
          <w:left w:w="108" w:type="dxa"/>
          <w:bottom w:w="0" w:type="dxa"/>
          <w:right w:w="108" w:type="dxa"/>
        </w:tblCellMar>
      </w:tblPr>
      <w:tblGrid>
        <w:gridCol w:w="996"/>
        <w:gridCol w:w="1641"/>
        <w:gridCol w:w="775"/>
        <w:gridCol w:w="1113"/>
        <w:gridCol w:w="1770"/>
        <w:gridCol w:w="1522"/>
        <w:gridCol w:w="1140"/>
      </w:tblGrid>
      <w:tr>
        <w:tblPrEx>
          <w:tblCellMar>
            <w:top w:w="0" w:type="dxa"/>
            <w:left w:w="108" w:type="dxa"/>
            <w:bottom w:w="0" w:type="dxa"/>
            <w:right w:w="108" w:type="dxa"/>
          </w:tblCellMar>
        </w:tblPrEx>
        <w:trPr>
          <w:trHeight w:val="489" w:hRule="exact"/>
          <w:jc w:val="center"/>
        </w:trPr>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行业名称</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指标名称</w:t>
            </w: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计量</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大型</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中型</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小型</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微型</w:t>
            </w:r>
          </w:p>
        </w:tc>
      </w:tr>
      <w:tr>
        <w:tblPrEx>
          <w:tblCellMar>
            <w:top w:w="0" w:type="dxa"/>
            <w:left w:w="108" w:type="dxa"/>
            <w:bottom w:w="0" w:type="dxa"/>
            <w:right w:w="108" w:type="dxa"/>
          </w:tblCellMar>
        </w:tblPrEx>
        <w:trPr>
          <w:trHeight w:val="601" w:hRule="exact"/>
          <w:jc w:val="center"/>
        </w:trPr>
        <w:tc>
          <w:tcPr>
            <w:tcW w:w="99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工业</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从业人员</w:t>
            </w:r>
            <w:r>
              <w:rPr>
                <w:rFonts w:hint="eastAsia"/>
                <w:bCs/>
                <w:szCs w:val="21"/>
                <w:lang w:eastAsia="zh-CN"/>
              </w:rPr>
              <w:t>（</w:t>
            </w:r>
            <w:r>
              <w:rPr>
                <w:bCs/>
                <w:szCs w:val="21"/>
              </w:rPr>
              <w:t>X</w:t>
            </w:r>
            <w:r>
              <w:rPr>
                <w:rFonts w:hint="eastAsia"/>
                <w:bCs/>
                <w:szCs w:val="21"/>
                <w:lang w:eastAsia="zh-CN"/>
              </w:rPr>
              <w:t>）</w:t>
            </w: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人</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X≥1000</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300≤X</w:t>
            </w:r>
            <w:r>
              <w:rPr>
                <w:rFonts w:hint="eastAsia"/>
                <w:bCs/>
                <w:szCs w:val="21"/>
                <w:lang w:eastAsia="zh-CN"/>
              </w:rPr>
              <w:t>&lt;</w:t>
            </w:r>
            <w:r>
              <w:rPr>
                <w:bCs/>
                <w:szCs w:val="21"/>
              </w:rPr>
              <w:t>1000</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20≤X</w:t>
            </w:r>
            <w:r>
              <w:rPr>
                <w:rFonts w:hint="eastAsia"/>
                <w:bCs/>
                <w:szCs w:val="21"/>
                <w:lang w:eastAsia="zh-CN"/>
              </w:rPr>
              <w:t>&lt;</w:t>
            </w:r>
            <w:r>
              <w:rPr>
                <w:bCs/>
                <w:szCs w:val="21"/>
              </w:rPr>
              <w:t>300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X</w:t>
            </w:r>
            <w:r>
              <w:rPr>
                <w:rFonts w:hint="eastAsia"/>
                <w:bCs/>
                <w:szCs w:val="21"/>
                <w:lang w:eastAsia="zh-CN"/>
              </w:rPr>
              <w:t>&lt;</w:t>
            </w:r>
            <w:r>
              <w:rPr>
                <w:bCs/>
                <w:szCs w:val="21"/>
              </w:rPr>
              <w:t>20</w:t>
            </w:r>
          </w:p>
        </w:tc>
      </w:tr>
      <w:tr>
        <w:tblPrEx>
          <w:tblCellMar>
            <w:top w:w="0" w:type="dxa"/>
            <w:left w:w="108" w:type="dxa"/>
            <w:bottom w:w="0" w:type="dxa"/>
            <w:right w:w="108" w:type="dxa"/>
          </w:tblCellMar>
        </w:tblPrEx>
        <w:trPr>
          <w:trHeight w:val="580" w:hRule="exact"/>
          <w:jc w:val="center"/>
        </w:trPr>
        <w:tc>
          <w:tcPr>
            <w:tcW w:w="9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营业收入</w:t>
            </w:r>
            <w:r>
              <w:rPr>
                <w:rFonts w:hint="eastAsia"/>
                <w:bCs/>
                <w:szCs w:val="21"/>
                <w:lang w:eastAsia="zh-CN"/>
              </w:rPr>
              <w:t>（</w:t>
            </w:r>
            <w:r>
              <w:rPr>
                <w:bCs/>
                <w:szCs w:val="21"/>
              </w:rPr>
              <w:t>Y</w:t>
            </w:r>
            <w:r>
              <w:rPr>
                <w:rFonts w:hint="eastAsia"/>
                <w:bCs/>
                <w:szCs w:val="21"/>
                <w:lang w:eastAsia="zh-CN"/>
              </w:rPr>
              <w:t>）</w:t>
            </w: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万元</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Y≥40000</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2000≤Y</w:t>
            </w:r>
            <w:r>
              <w:rPr>
                <w:rFonts w:hint="eastAsia"/>
                <w:bCs/>
                <w:szCs w:val="21"/>
                <w:lang w:eastAsia="zh-CN"/>
              </w:rPr>
              <w:t>&lt;</w:t>
            </w:r>
            <w:r>
              <w:rPr>
                <w:bCs/>
                <w:szCs w:val="21"/>
              </w:rPr>
              <w:t>40000</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300≤Y</w:t>
            </w:r>
            <w:r>
              <w:rPr>
                <w:rFonts w:hint="eastAsia"/>
                <w:bCs/>
                <w:szCs w:val="21"/>
                <w:lang w:eastAsia="zh-CN"/>
              </w:rPr>
              <w:t>&lt;</w:t>
            </w:r>
            <w:r>
              <w:rPr>
                <w:bCs/>
                <w:szCs w:val="21"/>
              </w:rPr>
              <w:t>2000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Cs w:val="21"/>
              </w:rPr>
            </w:pPr>
            <w:r>
              <w:rPr>
                <w:bCs/>
                <w:szCs w:val="21"/>
              </w:rPr>
              <w:t>Y</w:t>
            </w:r>
            <w:r>
              <w:rPr>
                <w:rFonts w:hint="eastAsia"/>
                <w:bCs/>
                <w:szCs w:val="21"/>
                <w:lang w:eastAsia="zh-CN"/>
              </w:rPr>
              <w:t>&lt;</w:t>
            </w:r>
            <w:r>
              <w:rPr>
                <w:bCs/>
                <w:szCs w:val="21"/>
              </w:rPr>
              <w:t>300</w:t>
            </w:r>
          </w:p>
        </w:tc>
      </w:tr>
    </w:tbl>
    <w:p>
      <w:pPr>
        <w:keepNext w:val="0"/>
        <w:keepLines w:val="0"/>
        <w:pageBreakBefore w:val="0"/>
        <w:widowControl w:val="0"/>
        <w:kinsoku/>
        <w:wordWrap/>
        <w:overflowPunct/>
        <w:topLinePunct w:val="0"/>
        <w:autoSpaceDE/>
        <w:autoSpaceDN/>
        <w:bidi w:val="0"/>
        <w:spacing w:line="440" w:lineRule="exact"/>
        <w:jc w:val="left"/>
        <w:textAlignment w:val="auto"/>
        <w:rPr>
          <w:bCs/>
          <w:szCs w:val="21"/>
        </w:rPr>
      </w:pPr>
      <w:r>
        <w:rPr>
          <w:bCs/>
          <w:szCs w:val="21"/>
        </w:rPr>
        <w:t>注：大型、中型和小型企业须同时满足所列指标的下限，否则下划一档；微型企业只需满足所列指标中的一项即可。</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b/>
          <w:bCs/>
          <w:color w:val="000000"/>
          <w:szCs w:val="21"/>
        </w:rPr>
      </w:pPr>
      <w:r>
        <w:rPr>
          <w:b/>
          <w:bCs/>
          <w:color w:val="000000"/>
          <w:szCs w:val="21"/>
        </w:rPr>
        <w:t>三、产品管理情况</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bCs/>
          <w:szCs w:val="21"/>
        </w:rPr>
      </w:pPr>
      <w:r>
        <w:rPr>
          <w:rFonts w:hint="eastAsia"/>
          <w:bCs/>
          <w:szCs w:val="21"/>
          <w:lang w:val="en-US" w:eastAsia="zh-CN"/>
        </w:rPr>
        <w:t>食品接触用纸包装及容器制品产品</w:t>
      </w:r>
      <w:r>
        <w:rPr>
          <w:bCs/>
          <w:szCs w:val="21"/>
        </w:rPr>
        <w:t>属于工业产品生产许可证目录内产品</w:t>
      </w:r>
      <w:r>
        <w:rPr>
          <w:rFonts w:hint="eastAsia"/>
          <w:bCs/>
          <w:szCs w:val="21"/>
        </w:rPr>
        <w:t>，</w:t>
      </w:r>
      <w:r>
        <w:rPr>
          <w:bCs/>
          <w:szCs w:val="21"/>
        </w:rPr>
        <w:t>对于经过国家行政审批且获得证书允许生产的企业才可进行抽检。</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b/>
          <w:bCs/>
          <w:color w:val="000000"/>
          <w:szCs w:val="21"/>
        </w:rPr>
      </w:pPr>
      <w:r>
        <w:rPr>
          <w:rFonts w:hint="eastAsia"/>
          <w:b/>
          <w:bCs/>
          <w:color w:val="000000"/>
          <w:szCs w:val="21"/>
          <w:lang w:val="en-US" w:eastAsia="zh-CN"/>
        </w:rPr>
        <w:t>四</w:t>
      </w:r>
      <w:r>
        <w:rPr>
          <w:b/>
          <w:bCs/>
          <w:color w:val="000000"/>
          <w:szCs w:val="21"/>
        </w:rPr>
        <w:t>、抽查产品的标准体系状况</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bCs/>
          <w:szCs w:val="21"/>
        </w:rPr>
      </w:pPr>
      <w:r>
        <w:rPr>
          <w:bCs/>
          <w:szCs w:val="21"/>
        </w:rPr>
        <w:t>我国</w:t>
      </w:r>
      <w:r>
        <w:rPr>
          <w:rFonts w:hint="eastAsia"/>
          <w:bCs/>
          <w:szCs w:val="21"/>
          <w:lang w:val="en-US" w:eastAsia="zh-CN"/>
        </w:rPr>
        <w:t>食品接触用纸包装及容器制品产品</w:t>
      </w:r>
      <w:r>
        <w:rPr>
          <w:bCs/>
          <w:szCs w:val="21"/>
        </w:rPr>
        <w:t>的标准体系根据标准的性质分为</w:t>
      </w:r>
      <w:r>
        <w:rPr>
          <w:rFonts w:hint="eastAsia"/>
          <w:bCs/>
          <w:szCs w:val="21"/>
          <w:lang w:val="en-US" w:eastAsia="zh-CN"/>
        </w:rPr>
        <w:t>安全标准、产品标准、</w:t>
      </w:r>
      <w:r>
        <w:rPr>
          <w:bCs/>
          <w:szCs w:val="21"/>
        </w:rPr>
        <w:t>检测方法标准。</w:t>
      </w:r>
      <w:r>
        <w:rPr>
          <w:rFonts w:hint="eastAsia"/>
          <w:bCs/>
          <w:szCs w:val="21"/>
          <w:lang w:eastAsia="zh-CN"/>
        </w:rPr>
        <w:t>现行</w:t>
      </w:r>
      <w:r>
        <w:rPr>
          <w:bCs/>
          <w:szCs w:val="21"/>
        </w:rPr>
        <w:t>有效的国家强制性相关标准</w:t>
      </w:r>
      <w:r>
        <w:rPr>
          <w:rFonts w:hint="eastAsia"/>
          <w:bCs/>
          <w:szCs w:val="21"/>
          <w:lang w:val="en-US" w:eastAsia="zh-CN"/>
        </w:rPr>
        <w:t>2</w:t>
      </w:r>
      <w:r>
        <w:rPr>
          <w:bCs/>
          <w:szCs w:val="21"/>
        </w:rPr>
        <w:t>项，相关标准见表</w:t>
      </w:r>
      <w:r>
        <w:rPr>
          <w:rFonts w:hint="eastAsia"/>
          <w:bCs/>
          <w:szCs w:val="21"/>
          <w:lang w:val="en-US" w:eastAsia="zh-CN"/>
        </w:rPr>
        <w:t>3</w:t>
      </w:r>
      <w:r>
        <w:rPr>
          <w:bCs/>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bCs/>
          <w:szCs w:val="21"/>
        </w:rPr>
      </w:pPr>
      <w:r>
        <w:rPr>
          <w:bCs/>
          <w:szCs w:val="21"/>
        </w:rPr>
        <w:t>表</w:t>
      </w:r>
      <w:r>
        <w:rPr>
          <w:rFonts w:hint="eastAsia"/>
          <w:bCs/>
          <w:szCs w:val="21"/>
          <w:lang w:val="en-US" w:eastAsia="zh-CN"/>
        </w:rPr>
        <w:t>3</w:t>
      </w:r>
      <w:r>
        <w:rPr>
          <w:bCs/>
          <w:szCs w:val="21"/>
        </w:rPr>
        <w:t xml:space="preserve">  </w:t>
      </w:r>
      <w:r>
        <w:rPr>
          <w:rFonts w:hint="eastAsia"/>
          <w:bCs/>
          <w:szCs w:val="21"/>
          <w:lang w:val="en-US" w:eastAsia="zh-CN"/>
        </w:rPr>
        <w:t>食品接触用纸包装及容器制品产品</w:t>
      </w:r>
      <w:r>
        <w:rPr>
          <w:bCs/>
          <w:szCs w:val="21"/>
        </w:rPr>
        <w:t>相关标准情况</w:t>
      </w:r>
    </w:p>
    <w:tbl>
      <w:tblPr>
        <w:tblStyle w:val="8"/>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8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46" w:type="dxa"/>
            <w:tcBorders>
              <w:top w:val="single" w:color="auto" w:sz="4" w:space="0"/>
              <w:left w:val="single" w:color="auto" w:sz="4" w:space="0"/>
              <w:right w:val="single" w:color="auto" w:sz="4" w:space="0"/>
            </w:tcBorders>
            <w:noWrap w:val="0"/>
            <w:vAlign w:val="center"/>
          </w:tcPr>
          <w:p>
            <w:pPr>
              <w:spacing w:line="360" w:lineRule="auto"/>
              <w:jc w:val="center"/>
              <w:rPr>
                <w:rFonts w:hint="eastAsia" w:eastAsia="宋体"/>
                <w:bCs/>
                <w:szCs w:val="21"/>
                <w:lang w:val="en-US" w:eastAsia="zh-CN"/>
              </w:rPr>
            </w:pPr>
            <w:r>
              <w:rPr>
                <w:rFonts w:hint="eastAsia"/>
                <w:bCs/>
                <w:szCs w:val="21"/>
                <w:lang w:val="en-US" w:eastAsia="zh-CN"/>
              </w:rPr>
              <w:t>安全标准</w:t>
            </w:r>
          </w:p>
        </w:tc>
        <w:tc>
          <w:tcPr>
            <w:tcW w:w="821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szCs w:val="21"/>
              </w:rPr>
            </w:pPr>
            <w:r>
              <w:rPr>
                <w:szCs w:val="21"/>
              </w:rPr>
              <w:t>GB 4806.7</w:t>
            </w:r>
            <w:r>
              <w:rPr>
                <w:rFonts w:hint="eastAsia"/>
                <w:szCs w:val="21"/>
              </w:rPr>
              <w:t>-</w:t>
            </w:r>
            <w:r>
              <w:rPr>
                <w:szCs w:val="21"/>
              </w:rPr>
              <w:t xml:space="preserve">2023 </w:t>
            </w:r>
            <w:r>
              <w:rPr>
                <w:rFonts w:hint="eastAsia"/>
                <w:szCs w:val="21"/>
              </w:rPr>
              <w:t>食品安全国家标准 食品接触用塑料材料及制品</w:t>
            </w:r>
          </w:p>
          <w:p>
            <w:pPr>
              <w:spacing w:line="440" w:lineRule="exact"/>
              <w:rPr>
                <w:rFonts w:hint="default" w:eastAsia="宋体"/>
                <w:szCs w:val="21"/>
                <w:lang w:val="en-US" w:eastAsia="zh-CN"/>
              </w:rPr>
            </w:pPr>
            <w:r>
              <w:rPr>
                <w:rFonts w:hint="eastAsia"/>
                <w:szCs w:val="21"/>
                <w:lang w:val="en-US" w:eastAsia="zh-CN"/>
              </w:rPr>
              <w:t xml:space="preserve">GB 4806.8-2022 </w:t>
            </w:r>
            <w:r>
              <w:rPr>
                <w:rFonts w:hint="eastAsia"/>
                <w:szCs w:val="21"/>
              </w:rPr>
              <w:t>食品安全国家标准 食品接触用</w:t>
            </w:r>
            <w:r>
              <w:rPr>
                <w:rFonts w:hint="eastAsia"/>
                <w:szCs w:val="21"/>
                <w:lang w:val="en-US" w:eastAsia="zh-CN"/>
              </w:rPr>
              <w:t>纸和纸板材料及</w:t>
            </w:r>
            <w:r>
              <w:rPr>
                <w:rFonts w:hint="eastAsia"/>
                <w:szCs w:val="21"/>
              </w:rPr>
              <w:t>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46" w:type="dxa"/>
            <w:tcBorders>
              <w:top w:val="single" w:color="auto" w:sz="4" w:space="0"/>
              <w:left w:val="single" w:color="auto" w:sz="4" w:space="0"/>
              <w:right w:val="single" w:color="auto" w:sz="4" w:space="0"/>
            </w:tcBorders>
            <w:noWrap w:val="0"/>
            <w:vAlign w:val="center"/>
          </w:tcPr>
          <w:p>
            <w:pPr>
              <w:spacing w:line="360" w:lineRule="auto"/>
              <w:jc w:val="center"/>
              <w:rPr>
                <w:rFonts w:hint="default" w:eastAsia="宋体"/>
                <w:bCs/>
                <w:szCs w:val="21"/>
                <w:lang w:val="en-US" w:eastAsia="zh-CN"/>
              </w:rPr>
            </w:pPr>
            <w:r>
              <w:rPr>
                <w:rFonts w:hint="eastAsia"/>
                <w:bCs/>
                <w:szCs w:val="21"/>
                <w:lang w:val="en-US" w:eastAsia="zh-CN"/>
              </w:rPr>
              <w:t>产品标准</w:t>
            </w:r>
          </w:p>
        </w:tc>
        <w:tc>
          <w:tcPr>
            <w:tcW w:w="821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lang w:eastAsia="zh-CN"/>
              </w:rPr>
            </w:pPr>
            <w:r>
              <w:rPr>
                <w:rFonts w:hint="eastAsia" w:ascii="Times New Roman" w:hAnsi="Times New Roman" w:eastAsia="宋体" w:cs="Times New Roman"/>
                <w:szCs w:val="21"/>
                <w:lang w:val="en-US" w:eastAsia="zh-CN"/>
              </w:rPr>
              <w:t>GB/T 27590-2022 纸杯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1346" w:type="dxa"/>
            <w:tcBorders>
              <w:top w:val="single" w:color="auto" w:sz="4" w:space="0"/>
              <w:left w:val="single" w:color="auto" w:sz="4" w:space="0"/>
              <w:right w:val="single" w:color="auto" w:sz="4" w:space="0"/>
            </w:tcBorders>
            <w:noWrap w:val="0"/>
            <w:vAlign w:val="center"/>
          </w:tcPr>
          <w:p>
            <w:pPr>
              <w:spacing w:line="360" w:lineRule="auto"/>
              <w:jc w:val="center"/>
              <w:rPr>
                <w:bCs/>
                <w:szCs w:val="21"/>
              </w:rPr>
            </w:pPr>
            <w:r>
              <w:rPr>
                <w:bCs/>
                <w:szCs w:val="21"/>
              </w:rPr>
              <w:t>方法标准</w:t>
            </w:r>
          </w:p>
        </w:tc>
        <w:tc>
          <w:tcPr>
            <w:tcW w:w="821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GB 31604.8-2021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食品安全国家标准 食品接触材料及制品总迁移量的测定 </w:t>
            </w:r>
          </w:p>
          <w:p>
            <w:pPr>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GB 31604.2-2016</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食品安全国家标准 食品接触材料及制品 高锰酸钾消耗量的测定 </w:t>
            </w:r>
          </w:p>
          <w:p>
            <w:pPr>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GB 31604.9-2016</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食品安全国家标准 食品接触材料及制品 食品模拟物中重金属的测定</w:t>
            </w:r>
          </w:p>
          <w:p>
            <w:pPr>
              <w:spacing w:line="44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31604.34-2016 食品安全国家标准 食品接触材料及制品 铅的测定和迁移量的测定</w:t>
            </w:r>
          </w:p>
          <w:p>
            <w:pPr>
              <w:spacing w:line="44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31604.49-2023 食品安全国家标准 食品接触材料及制品 多元素的测定和多元素迁移量的测定</w:t>
            </w:r>
          </w:p>
          <w:p>
            <w:pPr>
              <w:spacing w:line="44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31604.38-2016 食品安全国家标准 食品接触材料及制品 砷的测定和迁移量的测定</w:t>
            </w:r>
          </w:p>
          <w:p>
            <w:pPr>
              <w:spacing w:line="44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31604.47-2023 食品安全国家标准 食品接触材料及制品 纸、纸板及纸制品中荧光性物质的测定</w:t>
            </w:r>
          </w:p>
          <w:p>
            <w:pPr>
              <w:spacing w:line="440" w:lineRule="exact"/>
              <w:rPr>
                <w:rFonts w:hint="eastAsia"/>
                <w:lang w:eastAsia="zh-CN"/>
              </w:rPr>
            </w:pPr>
            <w:r>
              <w:rPr>
                <w:rFonts w:hint="eastAsia" w:ascii="Times New Roman" w:hAnsi="Times New Roman" w:eastAsia="宋体" w:cs="Times New Roman"/>
                <w:szCs w:val="21"/>
                <w:lang w:val="en-US" w:eastAsia="zh-CN"/>
              </w:rPr>
              <w:t>GB 31604.48-2016 食品安全国家标准 食品接触材料及制品 甲醛迁移量的测定</w:t>
            </w:r>
          </w:p>
        </w:tc>
      </w:tr>
    </w:tbl>
    <w:p>
      <w:pPr>
        <w:numPr>
          <w:ilvl w:val="0"/>
          <w:numId w:val="1"/>
        </w:numPr>
        <w:spacing w:line="360" w:lineRule="auto"/>
        <w:jc w:val="left"/>
        <w:rPr>
          <w:b/>
          <w:szCs w:val="21"/>
        </w:rPr>
      </w:pPr>
      <w:r>
        <w:rPr>
          <w:b/>
          <w:szCs w:val="21"/>
        </w:rPr>
        <w:t>检验项目分类</w:t>
      </w:r>
    </w:p>
    <w:p>
      <w:pPr>
        <w:adjustRightInd w:val="0"/>
        <w:snapToGrid w:val="0"/>
        <w:spacing w:before="62" w:beforeLines="20" w:after="62" w:afterLines="20"/>
        <w:jc w:val="center"/>
        <w:rPr>
          <w:b/>
          <w:szCs w:val="21"/>
        </w:rPr>
      </w:pPr>
      <w:r>
        <w:rPr>
          <w:rFonts w:hint="eastAsia" w:ascii="Times New Roman" w:hAnsi="Times New Roman" w:eastAsia="宋体" w:cs="Times New Roman"/>
          <w:color w:val="000000"/>
        </w:rPr>
        <w:t>表</w:t>
      </w:r>
      <w:r>
        <w:rPr>
          <w:rFonts w:hint="eastAsia" w:ascii="Times New Roman" w:hAnsi="Times New Roman" w:eastAsia="宋体" w:cs="Times New Roman"/>
          <w:color w:val="000000"/>
          <w:lang w:val="en-US" w:eastAsia="zh-CN"/>
        </w:rPr>
        <w:t>4</w:t>
      </w:r>
      <w:r>
        <w:rPr>
          <w:rFonts w:hint="eastAsia" w:ascii="Times New Roman" w:hAnsi="Times New Roman" w:eastAsia="宋体" w:cs="Times New Roman"/>
          <w:color w:val="000000"/>
        </w:rPr>
        <w:t xml:space="preserve"> </w:t>
      </w:r>
      <w:r>
        <w:rPr>
          <w:rFonts w:hint="eastAsia" w:ascii="Times New Roman" w:hAnsi="Times New Roman" w:eastAsia="宋体" w:cs="Times New Roman"/>
          <w:color w:val="000000"/>
          <w:lang w:val="en-US" w:eastAsia="zh-CN"/>
        </w:rPr>
        <w:t>纸杯</w:t>
      </w:r>
    </w:p>
    <w:tbl>
      <w:tblPr>
        <w:tblStyle w:val="8"/>
        <w:tblpPr w:leftFromText="180" w:rightFromText="180" w:vertAnchor="text" w:horzAnchor="page" w:tblpXSpec="center" w:tblpY="409"/>
        <w:tblOverlap w:val="never"/>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549"/>
        <w:gridCol w:w="4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blHeader/>
          <w:jc w:val="center"/>
        </w:trPr>
        <w:tc>
          <w:tcPr>
            <w:tcW w:w="790" w:type="pct"/>
            <w:noWrap w:val="0"/>
            <w:vAlign w:val="top"/>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序号</w:t>
            </w:r>
          </w:p>
        </w:tc>
        <w:tc>
          <w:tcPr>
            <w:tcW w:w="1976" w:type="pct"/>
            <w:noWrap w:val="0"/>
            <w:vAlign w:val="top"/>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检验项目</w:t>
            </w:r>
          </w:p>
        </w:tc>
        <w:tc>
          <w:tcPr>
            <w:tcW w:w="2233" w:type="pct"/>
            <w:noWrap w:val="0"/>
            <w:vAlign w:val="top"/>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1</w:t>
            </w:r>
          </w:p>
        </w:tc>
        <w:tc>
          <w:tcPr>
            <w:tcW w:w="1976"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感官要求</w:t>
            </w:r>
          </w:p>
        </w:tc>
        <w:tc>
          <w:tcPr>
            <w:tcW w:w="2233"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GB 4806.8</w:t>
            </w:r>
            <w:r>
              <w:rPr>
                <w:rFonts w:hint="eastAsia" w:ascii="Times New Roman" w:hAnsi="Times New Roman" w:cs="Times New Roman"/>
                <w:color w:val="000000"/>
                <w:lang w:eastAsia="zh-CN"/>
              </w:rPr>
              <w:t>-</w:t>
            </w:r>
            <w:r>
              <w:rPr>
                <w:rFonts w:hint="eastAsia" w:ascii="Times New Roman" w:hAnsi="Times New Roman" w:cs="Times New Roman"/>
                <w:color w:val="000000"/>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2</w:t>
            </w:r>
          </w:p>
        </w:tc>
        <w:tc>
          <w:tcPr>
            <w:tcW w:w="1976"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总迁移量</w:t>
            </w:r>
          </w:p>
        </w:tc>
        <w:tc>
          <w:tcPr>
            <w:tcW w:w="2233"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GB 31604.8</w:t>
            </w:r>
            <w:r>
              <w:rPr>
                <w:rFonts w:hint="eastAsia" w:ascii="Times New Roman" w:hAnsi="Times New Roman" w:cs="Times New Roman"/>
                <w:color w:val="000000"/>
                <w:lang w:eastAsia="zh-CN"/>
              </w:rPr>
              <w:t>-</w:t>
            </w:r>
            <w:r>
              <w:rPr>
                <w:rFonts w:hint="eastAsia" w:ascii="Times New Roman" w:hAnsi="Times New Roman" w:cs="Times New Roman"/>
                <w:color w:val="000000"/>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3</w:t>
            </w:r>
          </w:p>
        </w:tc>
        <w:tc>
          <w:tcPr>
            <w:tcW w:w="1976"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高锰酸钾消耗量</w:t>
            </w:r>
            <w:r>
              <w:rPr>
                <w:rFonts w:hint="eastAsia" w:ascii="Times New Roman" w:hAnsi="Times New Roman" w:cs="Times New Roman"/>
                <w:color w:val="000000"/>
                <w:vertAlign w:val="superscript"/>
              </w:rPr>
              <w:t>a</w:t>
            </w:r>
          </w:p>
        </w:tc>
        <w:tc>
          <w:tcPr>
            <w:tcW w:w="2233"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GB 31604.</w:t>
            </w:r>
            <w:r>
              <w:rPr>
                <w:rFonts w:hint="eastAsia" w:ascii="Times New Roman" w:hAnsi="Times New Roman" w:cs="Times New Roman"/>
                <w:color w:val="000000"/>
              </w:rPr>
              <w:t>2</w:t>
            </w:r>
            <w:r>
              <w:rPr>
                <w:rFonts w:hint="eastAsia" w:ascii="Times New Roman" w:hAnsi="Times New Roman" w:cs="Times New Roman"/>
                <w:color w:val="000000"/>
                <w:lang w:eastAsia="zh-CN"/>
              </w:rPr>
              <w:t>-</w:t>
            </w:r>
            <w:r>
              <w:rPr>
                <w:rFonts w:ascii="Times New Roman" w:hAnsi="Times New Roman" w:cs="Times New Roman"/>
                <w:color w:val="000000"/>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4</w:t>
            </w:r>
          </w:p>
        </w:tc>
        <w:tc>
          <w:tcPr>
            <w:tcW w:w="1976"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重金属（以</w:t>
            </w:r>
            <w:r>
              <w:rPr>
                <w:rFonts w:ascii="Times New Roman" w:hAnsi="Times New Roman" w:cs="Times New Roman"/>
                <w:color w:val="000000"/>
              </w:rPr>
              <w:t>Pb</w:t>
            </w:r>
            <w:r>
              <w:rPr>
                <w:rFonts w:hint="eastAsia" w:ascii="Times New Roman" w:hAnsi="Times New Roman" w:cs="Times New Roman"/>
                <w:color w:val="000000"/>
              </w:rPr>
              <w:t>计）</w:t>
            </w:r>
          </w:p>
        </w:tc>
        <w:tc>
          <w:tcPr>
            <w:tcW w:w="2233"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GB 31604.</w:t>
            </w:r>
            <w:r>
              <w:rPr>
                <w:rFonts w:hint="eastAsia" w:ascii="Times New Roman" w:hAnsi="Times New Roman" w:cs="Times New Roman"/>
                <w:color w:val="000000"/>
              </w:rPr>
              <w:t>9</w:t>
            </w:r>
            <w:r>
              <w:rPr>
                <w:rFonts w:hint="eastAsia" w:ascii="Times New Roman" w:hAnsi="Times New Roman" w:cs="Times New Roman"/>
                <w:color w:val="000000"/>
                <w:lang w:eastAsia="zh-CN"/>
              </w:rPr>
              <w:t>-</w:t>
            </w:r>
            <w:r>
              <w:rPr>
                <w:rFonts w:ascii="Times New Roman" w:hAnsi="Times New Roman" w:cs="Times New Roman"/>
                <w:color w:val="000000"/>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0"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5</w:t>
            </w:r>
          </w:p>
        </w:tc>
        <w:tc>
          <w:tcPr>
            <w:tcW w:w="1976"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铅（</w:t>
            </w:r>
            <w:r>
              <w:rPr>
                <w:rFonts w:ascii="Times New Roman" w:hAnsi="Times New Roman" w:cs="Times New Roman"/>
                <w:color w:val="000000"/>
              </w:rPr>
              <w:t>Pb</w:t>
            </w:r>
            <w:r>
              <w:rPr>
                <w:rFonts w:hint="eastAsia" w:ascii="Times New Roman" w:hAnsi="Times New Roman" w:cs="Times New Roman"/>
                <w:color w:val="000000"/>
              </w:rPr>
              <w:t>）</w:t>
            </w:r>
          </w:p>
        </w:tc>
        <w:tc>
          <w:tcPr>
            <w:tcW w:w="2233"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GB 31604.</w:t>
            </w:r>
            <w:r>
              <w:rPr>
                <w:rFonts w:hint="eastAsia" w:ascii="Times New Roman" w:hAnsi="Times New Roman" w:cs="Times New Roman"/>
                <w:color w:val="000000"/>
              </w:rPr>
              <w:t>34</w:t>
            </w:r>
            <w:r>
              <w:rPr>
                <w:rFonts w:hint="eastAsia" w:ascii="Times New Roman" w:hAnsi="Times New Roman" w:cs="Times New Roman"/>
                <w:color w:val="000000"/>
                <w:lang w:eastAsia="zh-CN"/>
              </w:rPr>
              <w:t>-</w:t>
            </w:r>
            <w:r>
              <w:rPr>
                <w:rFonts w:hint="eastAsia" w:ascii="Times New Roman" w:hAnsi="Times New Roman" w:cs="Times New Roman"/>
                <w:color w:val="000000"/>
              </w:rPr>
              <w:t>2016</w:t>
            </w:r>
          </w:p>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或</w:t>
            </w:r>
            <w:r>
              <w:rPr>
                <w:rFonts w:hint="eastAsia" w:ascii="Times New Roman" w:hAnsi="Times New Roman" w:cs="Times New Roman"/>
                <w:color w:val="000000"/>
              </w:rPr>
              <w:t>GB 31604.49</w:t>
            </w:r>
            <w:r>
              <w:rPr>
                <w:rFonts w:hint="eastAsia" w:ascii="Times New Roman" w:hAnsi="Times New Roman" w:cs="Times New Roman"/>
                <w:color w:val="000000"/>
                <w:lang w:eastAsia="zh-CN"/>
              </w:rPr>
              <w:t>-</w:t>
            </w:r>
            <w:r>
              <w:rPr>
                <w:rFonts w:hint="eastAsia" w:ascii="Times New Roman" w:hAnsi="Times New Roman" w:cs="Times New Roman"/>
                <w:color w:val="000000"/>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0"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6</w:t>
            </w:r>
          </w:p>
        </w:tc>
        <w:tc>
          <w:tcPr>
            <w:tcW w:w="1976"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砷（</w:t>
            </w:r>
            <w:r>
              <w:rPr>
                <w:rFonts w:ascii="Times New Roman" w:hAnsi="Times New Roman" w:cs="Times New Roman"/>
                <w:color w:val="000000"/>
              </w:rPr>
              <w:t>As</w:t>
            </w:r>
            <w:r>
              <w:rPr>
                <w:rFonts w:hint="eastAsia" w:ascii="Times New Roman" w:hAnsi="Times New Roman" w:cs="Times New Roman"/>
                <w:color w:val="000000"/>
              </w:rPr>
              <w:t>）</w:t>
            </w:r>
          </w:p>
        </w:tc>
        <w:tc>
          <w:tcPr>
            <w:tcW w:w="2233"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GB 31604.38</w:t>
            </w:r>
            <w:r>
              <w:rPr>
                <w:rFonts w:hint="eastAsia" w:ascii="Times New Roman" w:hAnsi="Times New Roman" w:cs="Times New Roman"/>
                <w:color w:val="000000"/>
                <w:lang w:eastAsia="zh-CN"/>
              </w:rPr>
              <w:t>-</w:t>
            </w:r>
            <w:r>
              <w:rPr>
                <w:rFonts w:hint="eastAsia" w:ascii="Times New Roman" w:hAnsi="Times New Roman" w:cs="Times New Roman"/>
                <w:color w:val="000000"/>
              </w:rPr>
              <w:t>2016</w:t>
            </w:r>
          </w:p>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或</w:t>
            </w:r>
            <w:r>
              <w:rPr>
                <w:rFonts w:hint="eastAsia" w:ascii="Times New Roman" w:hAnsi="Times New Roman" w:cs="Times New Roman"/>
                <w:color w:val="000000"/>
              </w:rPr>
              <w:t>GB 31604.49</w:t>
            </w:r>
            <w:r>
              <w:rPr>
                <w:rFonts w:hint="eastAsia" w:ascii="Times New Roman" w:hAnsi="Times New Roman" w:cs="Times New Roman"/>
                <w:color w:val="000000"/>
                <w:lang w:eastAsia="zh-CN"/>
              </w:rPr>
              <w:t>-</w:t>
            </w:r>
            <w:r>
              <w:rPr>
                <w:rFonts w:hint="eastAsia" w:ascii="Times New Roman" w:hAnsi="Times New Roman" w:cs="Times New Roman"/>
                <w:color w:val="000000"/>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90"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ascii="Times New Roman" w:hAnsi="Times New Roman" w:cs="Times New Roman"/>
                <w:color w:val="000000"/>
              </w:rPr>
              <w:t>7</w:t>
            </w:r>
          </w:p>
        </w:tc>
        <w:tc>
          <w:tcPr>
            <w:tcW w:w="1976"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荧光性物质</w:t>
            </w:r>
          </w:p>
        </w:tc>
        <w:tc>
          <w:tcPr>
            <w:tcW w:w="2233" w:type="pct"/>
            <w:noWrap w:val="0"/>
            <w:vAlign w:val="center"/>
          </w:tcPr>
          <w:p>
            <w:pPr>
              <w:adjustRightInd w:val="0"/>
              <w:snapToGrid w:val="0"/>
              <w:spacing w:before="62" w:beforeLines="20" w:after="62" w:afterLines="20"/>
              <w:jc w:val="center"/>
              <w:rPr>
                <w:rFonts w:ascii="Times New Roman" w:hAnsi="Times New Roman" w:cs="Times New Roman"/>
                <w:color w:val="000000"/>
              </w:rPr>
            </w:pPr>
            <w:r>
              <w:rPr>
                <w:rFonts w:hint="eastAsia" w:ascii="Times New Roman" w:hAnsi="Times New Roman" w:cs="Times New Roman"/>
                <w:color w:val="000000"/>
              </w:rPr>
              <w:t>GB 31604.47</w:t>
            </w:r>
            <w:r>
              <w:rPr>
                <w:rFonts w:hint="eastAsia" w:ascii="Times New Roman" w:hAnsi="Times New Roman" w:cs="Times New Roman"/>
                <w:color w:val="000000"/>
                <w:lang w:eastAsia="zh-CN"/>
              </w:rPr>
              <w:t>-</w:t>
            </w:r>
            <w:r>
              <w:rPr>
                <w:rFonts w:hint="eastAsia" w:ascii="Times New Roman" w:hAnsi="Times New Roman" w:cs="Times New Roman"/>
                <w:color w:val="000000"/>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90"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8</w:t>
            </w:r>
          </w:p>
        </w:tc>
        <w:tc>
          <w:tcPr>
            <w:tcW w:w="1976"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甲醛</w:t>
            </w:r>
          </w:p>
        </w:tc>
        <w:tc>
          <w:tcPr>
            <w:tcW w:w="2233"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GB 31604.48</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0"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9</w:t>
            </w:r>
          </w:p>
        </w:tc>
        <w:tc>
          <w:tcPr>
            <w:tcW w:w="1976"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rPr>
            </w:pPr>
            <w:r>
              <w:rPr>
                <w:rFonts w:hint="eastAsia" w:ascii="Times New Roman" w:hAnsi="Times New Roman" w:eastAsia="宋体" w:cs="Times New Roman"/>
                <w:color w:val="000000"/>
                <w:lang w:val="en-US" w:eastAsia="zh-CN"/>
              </w:rPr>
              <w:t>感官指标</w:t>
            </w:r>
          </w:p>
        </w:tc>
        <w:tc>
          <w:tcPr>
            <w:tcW w:w="2233"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GB/T 27590</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0" w:type="pct"/>
            <w:noWrap w:val="0"/>
            <w:vAlign w:val="center"/>
          </w:tcPr>
          <w:p>
            <w:pPr>
              <w:adjustRightInd w:val="0"/>
              <w:snapToGrid w:val="0"/>
              <w:spacing w:before="62" w:beforeLines="20" w:after="62" w:afterLines="20"/>
              <w:jc w:val="cente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10</w:t>
            </w:r>
          </w:p>
        </w:tc>
        <w:tc>
          <w:tcPr>
            <w:tcW w:w="1976"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rPr>
            </w:pPr>
            <w:r>
              <w:rPr>
                <w:rFonts w:hint="eastAsia" w:ascii="Times New Roman" w:hAnsi="Times New Roman" w:eastAsia="宋体" w:cs="Times New Roman"/>
                <w:color w:val="000000"/>
                <w:lang w:val="en-US" w:eastAsia="zh-CN"/>
              </w:rPr>
              <w:t>渗漏性能</w:t>
            </w:r>
          </w:p>
        </w:tc>
        <w:tc>
          <w:tcPr>
            <w:tcW w:w="2233"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rPr>
            </w:pPr>
            <w:r>
              <w:rPr>
                <w:rFonts w:hint="eastAsia" w:ascii="Times New Roman" w:hAnsi="Times New Roman" w:eastAsia="宋体" w:cs="Times New Roman"/>
                <w:color w:val="000000"/>
              </w:rPr>
              <w:t>GB/T 27590</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0" w:type="pct"/>
            <w:noWrap w:val="0"/>
            <w:vAlign w:val="center"/>
          </w:tcPr>
          <w:p>
            <w:pPr>
              <w:adjustRightInd w:val="0"/>
              <w:snapToGrid w:val="0"/>
              <w:spacing w:before="62" w:beforeLines="20" w:after="62" w:afterLines="20"/>
              <w:jc w:val="cente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11</w:t>
            </w:r>
          </w:p>
        </w:tc>
        <w:tc>
          <w:tcPr>
            <w:tcW w:w="1976"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rPr>
              <w:t>杯身挺度</w:t>
            </w:r>
          </w:p>
        </w:tc>
        <w:tc>
          <w:tcPr>
            <w:tcW w:w="2233" w:type="pct"/>
            <w:noWrap w:val="0"/>
            <w:vAlign w:val="center"/>
          </w:tcPr>
          <w:p>
            <w:pPr>
              <w:adjustRightInd w:val="0"/>
              <w:snapToGrid w:val="0"/>
              <w:spacing w:before="62" w:beforeLines="20" w:after="62" w:afterLines="20"/>
              <w:jc w:val="center"/>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rPr>
              <w:t>GB/T 27590</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2022</w:t>
            </w:r>
          </w:p>
        </w:tc>
      </w:tr>
    </w:tbl>
    <w:p>
      <w:pPr>
        <w:numPr>
          <w:ilvl w:val="0"/>
          <w:numId w:val="0"/>
        </w:numPr>
        <w:adjustRightInd w:val="0"/>
        <w:snapToGrid w:val="0"/>
        <w:spacing w:line="360" w:lineRule="auto"/>
        <w:rPr>
          <w:b/>
          <w:bCs/>
        </w:rPr>
      </w:pPr>
      <w:r>
        <w:rPr>
          <w:rFonts w:hint="eastAsia"/>
          <w:b/>
          <w:bCs/>
          <w:lang w:val="en-US" w:eastAsia="zh-CN"/>
        </w:rPr>
        <w:t>六、</w:t>
      </w:r>
      <w:r>
        <w:rPr>
          <w:rFonts w:hint="eastAsia"/>
          <w:b/>
          <w:bCs/>
        </w:rPr>
        <w:t>抽样工作要求</w:t>
      </w:r>
    </w:p>
    <w:p>
      <w:pPr>
        <w:adjustRightInd w:val="0"/>
        <w:snapToGrid w:val="0"/>
        <w:spacing w:line="360" w:lineRule="auto"/>
        <w:ind w:firstLine="420" w:firstLineChars="200"/>
        <w:rPr>
          <w:bCs/>
          <w:szCs w:val="21"/>
        </w:rPr>
      </w:pPr>
      <w:r>
        <w:rPr>
          <w:rFonts w:hint="eastAsia"/>
          <w:bCs/>
          <w:szCs w:val="21"/>
        </w:rPr>
        <w:t>（一）抽样要求</w:t>
      </w:r>
    </w:p>
    <w:p>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执行抽查任务时，抽样人员应表明身份并出具有关委托文书，告知受检单位监督抽查的性质、检验项目。</w:t>
      </w:r>
    </w:p>
    <w:p>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按要求认真填写抽样单、抽查通知书、封样单等抽样记录文书，采取有效的防拆封措施完成检验样品和备用样品的封样。通过拍照或者录像的方式对现场抽样的过程予以记录并妥善留存证据</w:t>
      </w:r>
      <w:r>
        <w:rPr>
          <w:bCs/>
          <w:szCs w:val="21"/>
        </w:rPr>
        <w:t>，记录的内容包括：</w:t>
      </w:r>
    </w:p>
    <w:p>
      <w:pPr>
        <w:spacing w:line="360" w:lineRule="auto"/>
        <w:ind w:firstLine="420" w:firstLineChars="200"/>
        <w:jc w:val="left"/>
        <w:rPr>
          <w:bCs/>
          <w:szCs w:val="21"/>
        </w:rPr>
      </w:pPr>
      <w:r>
        <w:rPr>
          <w:bCs/>
          <w:szCs w:val="21"/>
        </w:rPr>
        <w:t>（</w:t>
      </w:r>
      <w:r>
        <w:rPr>
          <w:rFonts w:hint="eastAsia"/>
          <w:bCs/>
          <w:szCs w:val="21"/>
        </w:rPr>
        <w:t>1</w:t>
      </w:r>
      <w:r>
        <w:rPr>
          <w:bCs/>
          <w:szCs w:val="21"/>
        </w:rPr>
        <w:t>）被抽样生产者、销售者外观照片，若被抽样生产者、销售者悬挂厂牌或店招的，应当包含在照片内；</w:t>
      </w:r>
    </w:p>
    <w:p>
      <w:pPr>
        <w:spacing w:line="360" w:lineRule="auto"/>
        <w:ind w:firstLine="420" w:firstLineChars="200"/>
        <w:jc w:val="left"/>
        <w:rPr>
          <w:bCs/>
          <w:szCs w:val="21"/>
        </w:rPr>
      </w:pPr>
      <w:r>
        <w:rPr>
          <w:bCs/>
          <w:szCs w:val="21"/>
        </w:rPr>
        <w:t>（</w:t>
      </w:r>
      <w:r>
        <w:rPr>
          <w:rFonts w:hint="eastAsia"/>
          <w:bCs/>
          <w:szCs w:val="21"/>
        </w:rPr>
        <w:t>2</w:t>
      </w:r>
      <w:r>
        <w:rPr>
          <w:bCs/>
          <w:szCs w:val="21"/>
        </w:rPr>
        <w:t>）被抽样生产者、销售者营业执照复印件或照片；对依法实施生产许可、强制性认证等资质管理的产品，还应当包括其资质证书复印件或照片；</w:t>
      </w:r>
    </w:p>
    <w:p>
      <w:pPr>
        <w:spacing w:line="360" w:lineRule="auto"/>
        <w:ind w:firstLine="420" w:firstLineChars="200"/>
        <w:jc w:val="left"/>
        <w:rPr>
          <w:bCs/>
          <w:szCs w:val="21"/>
        </w:rPr>
      </w:pPr>
      <w:r>
        <w:rPr>
          <w:bCs/>
          <w:szCs w:val="21"/>
        </w:rPr>
        <w:t>（</w:t>
      </w:r>
      <w:r>
        <w:rPr>
          <w:rFonts w:hint="eastAsia"/>
          <w:bCs/>
          <w:szCs w:val="21"/>
        </w:rPr>
        <w:t>3</w:t>
      </w:r>
      <w:r>
        <w:rPr>
          <w:bCs/>
          <w:szCs w:val="21"/>
        </w:rPr>
        <w:t>）抽样人员从样品堆中取样照片，应当包含有抽样人员和样品批量信息；</w:t>
      </w:r>
    </w:p>
    <w:p>
      <w:pPr>
        <w:spacing w:line="360" w:lineRule="auto"/>
        <w:ind w:firstLine="420" w:firstLineChars="200"/>
        <w:jc w:val="left"/>
        <w:rPr>
          <w:bCs/>
          <w:szCs w:val="21"/>
        </w:rPr>
      </w:pPr>
      <w:r>
        <w:rPr>
          <w:bCs/>
          <w:szCs w:val="21"/>
        </w:rPr>
        <w:t>（</w:t>
      </w:r>
      <w:r>
        <w:rPr>
          <w:rFonts w:hint="eastAsia"/>
          <w:bCs/>
          <w:szCs w:val="21"/>
        </w:rPr>
        <w:t>4</w:t>
      </w:r>
      <w:r>
        <w:rPr>
          <w:bCs/>
          <w:szCs w:val="21"/>
        </w:rPr>
        <w:t>）从不同部位拍摄含有外包装的样品照片，照片上能够反映产品信息；</w:t>
      </w:r>
    </w:p>
    <w:p>
      <w:pPr>
        <w:spacing w:line="360" w:lineRule="auto"/>
        <w:ind w:firstLine="420" w:firstLineChars="200"/>
        <w:jc w:val="left"/>
        <w:rPr>
          <w:bCs/>
          <w:szCs w:val="21"/>
        </w:rPr>
      </w:pPr>
      <w:r>
        <w:rPr>
          <w:bCs/>
          <w:szCs w:val="21"/>
        </w:rPr>
        <w:t>（</w:t>
      </w:r>
      <w:r>
        <w:rPr>
          <w:rFonts w:hint="eastAsia"/>
          <w:bCs/>
          <w:szCs w:val="21"/>
        </w:rPr>
        <w:t>5</w:t>
      </w:r>
      <w:r>
        <w:rPr>
          <w:bCs/>
          <w:szCs w:val="21"/>
        </w:rPr>
        <w:t>）封样完毕后，所封样品码放整齐后的外观照片和封条近照；有特殊贮藏运输要求的样品应当同时包含样品采取防护措施的照片。</w:t>
      </w:r>
    </w:p>
    <w:p>
      <w:pPr>
        <w:spacing w:line="360" w:lineRule="auto"/>
        <w:ind w:firstLine="420" w:firstLineChars="200"/>
        <w:jc w:val="left"/>
        <w:rPr>
          <w:bCs/>
          <w:szCs w:val="21"/>
        </w:rPr>
      </w:pPr>
      <w:r>
        <w:rPr>
          <w:bCs/>
          <w:szCs w:val="21"/>
        </w:rPr>
        <w:t>（</w:t>
      </w:r>
      <w:r>
        <w:rPr>
          <w:rFonts w:hint="eastAsia"/>
          <w:bCs/>
          <w:szCs w:val="21"/>
        </w:rPr>
        <w:t>6</w:t>
      </w:r>
      <w:r>
        <w:rPr>
          <w:bCs/>
          <w:szCs w:val="21"/>
        </w:rPr>
        <w:t>）同时包含所封样品、抽样人员和被抽样生产者、销售者相关人员的照片；</w:t>
      </w:r>
    </w:p>
    <w:p>
      <w:pPr>
        <w:spacing w:line="360" w:lineRule="auto"/>
        <w:ind w:firstLine="420" w:firstLineChars="200"/>
        <w:jc w:val="left"/>
        <w:rPr>
          <w:bCs/>
          <w:szCs w:val="21"/>
        </w:rPr>
      </w:pPr>
      <w:r>
        <w:rPr>
          <w:bCs/>
          <w:szCs w:val="21"/>
        </w:rPr>
        <w:t>（</w:t>
      </w:r>
      <w:r>
        <w:rPr>
          <w:rFonts w:hint="eastAsia"/>
          <w:bCs/>
          <w:szCs w:val="21"/>
        </w:rPr>
        <w:t>7</w:t>
      </w:r>
      <w:r>
        <w:rPr>
          <w:bCs/>
          <w:szCs w:val="21"/>
        </w:rPr>
        <w:t>）样品封存在被抽样生产者、销售者处的封存位置、封存状态等照片；</w:t>
      </w:r>
    </w:p>
    <w:p>
      <w:pPr>
        <w:spacing w:line="360" w:lineRule="auto"/>
        <w:ind w:firstLine="420" w:firstLineChars="200"/>
        <w:jc w:val="left"/>
        <w:rPr>
          <w:bCs/>
          <w:szCs w:val="21"/>
        </w:rPr>
      </w:pPr>
      <w:r>
        <w:rPr>
          <w:bCs/>
          <w:szCs w:val="21"/>
        </w:rPr>
        <w:t>（</w:t>
      </w:r>
      <w:r>
        <w:rPr>
          <w:rFonts w:hint="eastAsia"/>
          <w:bCs/>
          <w:szCs w:val="21"/>
        </w:rPr>
        <w:t>8</w:t>
      </w:r>
      <w:r>
        <w:rPr>
          <w:bCs/>
          <w:szCs w:val="21"/>
        </w:rPr>
        <w:t>）其他需要采集的信息。</w:t>
      </w:r>
    </w:p>
    <w:p>
      <w:pPr>
        <w:spacing w:line="360" w:lineRule="auto"/>
        <w:ind w:firstLine="420" w:firstLineChars="200"/>
        <w:jc w:val="left"/>
        <w:rPr>
          <w:bCs/>
          <w:szCs w:val="21"/>
        </w:rPr>
      </w:pPr>
      <w:r>
        <w:rPr>
          <w:bCs/>
          <w:szCs w:val="21"/>
        </w:rPr>
        <w:t>对抽样过程录像的，视频记录应当包括抽样前告知、样品抽取、封样、签字确认以及对有特殊贮藏运输要求产品的防护措施等</w:t>
      </w:r>
      <w:r>
        <w:rPr>
          <w:rFonts w:hint="eastAsia"/>
          <w:bCs/>
          <w:szCs w:val="21"/>
        </w:rPr>
        <w:t>影响检验、异议处理、结果处理的关键过程</w:t>
      </w:r>
      <w:r>
        <w:rPr>
          <w:bCs/>
          <w:szCs w:val="21"/>
        </w:rPr>
        <w:t>。</w:t>
      </w:r>
    </w:p>
    <w:p>
      <w:pPr>
        <w:spacing w:line="360" w:lineRule="auto"/>
        <w:ind w:firstLine="420" w:firstLineChars="200"/>
        <w:jc w:val="left"/>
        <w:rPr>
          <w:bCs/>
          <w:szCs w:val="21"/>
        </w:rPr>
      </w:pPr>
      <w:r>
        <w:rPr>
          <w:rFonts w:hint="eastAsia"/>
          <w:bCs/>
          <w:szCs w:val="21"/>
        </w:rPr>
        <w:t>应采取购样的方式抽取检验样品，如受检单位愿意无偿提供所抽样品，应在抽样单上注明，并双方签字确认。备用样品由受检单位先行无偿提供，封存在受检单位处的备用样品需加施封存标识。受检单位应当妥善保管封存的样品，不得隐匿、转移、变卖、损毁。</w:t>
      </w:r>
    </w:p>
    <w:p>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对终止抽样、无法抽样、不得抽样、拒绝抽样等情形应收集相关证据资料，按规定及时报告所在地市场监督管理部门，并上报组织监督抽查的市场监督管理部门。</w:t>
      </w:r>
    </w:p>
    <w:p>
      <w:pPr>
        <w:adjustRightInd w:val="0"/>
        <w:snapToGrid w:val="0"/>
        <w:spacing w:line="360" w:lineRule="auto"/>
        <w:ind w:firstLine="420" w:firstLineChars="200"/>
        <w:rPr>
          <w:bCs/>
          <w:szCs w:val="21"/>
        </w:rPr>
      </w:pPr>
      <w:r>
        <w:rPr>
          <w:rFonts w:hint="eastAsia"/>
          <w:bCs/>
          <w:szCs w:val="21"/>
        </w:rPr>
        <w:t>有下列情形之一的，抽样人员不得抽样：</w:t>
      </w:r>
    </w:p>
    <w:p>
      <w:pPr>
        <w:adjustRightInd w:val="0"/>
        <w:snapToGrid w:val="0"/>
        <w:spacing w:line="360" w:lineRule="auto"/>
        <w:ind w:firstLine="420" w:firstLineChars="200"/>
        <w:rPr>
          <w:bCs/>
          <w:szCs w:val="21"/>
        </w:rPr>
      </w:pPr>
      <w:r>
        <w:rPr>
          <w:rFonts w:hint="eastAsia"/>
          <w:bCs/>
          <w:szCs w:val="21"/>
        </w:rPr>
        <w:t>（1）待销产品数量不符合监督抽查实施细则要求的；</w:t>
      </w:r>
    </w:p>
    <w:p>
      <w:pPr>
        <w:adjustRightInd w:val="0"/>
        <w:snapToGrid w:val="0"/>
        <w:spacing w:line="360" w:lineRule="auto"/>
        <w:ind w:firstLine="420" w:firstLineChars="200"/>
        <w:rPr>
          <w:bCs/>
          <w:szCs w:val="21"/>
        </w:rPr>
      </w:pPr>
      <w:r>
        <w:rPr>
          <w:rFonts w:hint="eastAsia"/>
          <w:bCs/>
          <w:szCs w:val="21"/>
        </w:rPr>
        <w:t>（2）有充分证据表明拟抽样产品不用于销售，或者只用于出口并且出口合同对产品质量另有约定的；</w:t>
      </w:r>
    </w:p>
    <w:p>
      <w:pPr>
        <w:adjustRightInd w:val="0"/>
        <w:snapToGrid w:val="0"/>
        <w:spacing w:line="360" w:lineRule="auto"/>
        <w:ind w:firstLine="420" w:firstLineChars="200"/>
        <w:rPr>
          <w:bCs/>
          <w:szCs w:val="21"/>
        </w:rPr>
      </w:pPr>
      <w:r>
        <w:rPr>
          <w:rFonts w:hint="eastAsia"/>
          <w:bCs/>
          <w:szCs w:val="21"/>
        </w:rPr>
        <w:t>（3）产品或者其包装上标注“试制</w:t>
      </w:r>
      <w:r>
        <w:rPr>
          <w:rFonts w:hint="eastAsia"/>
          <w:bCs/>
          <w:szCs w:val="21"/>
          <w:lang w:eastAsia="zh-CN"/>
        </w:rPr>
        <w:t>”“</w:t>
      </w:r>
      <w:r>
        <w:rPr>
          <w:rFonts w:hint="eastAsia"/>
          <w:bCs/>
          <w:szCs w:val="21"/>
        </w:rPr>
        <w:t>处理</w:t>
      </w:r>
      <w:r>
        <w:rPr>
          <w:rFonts w:hint="eastAsia"/>
          <w:bCs/>
          <w:szCs w:val="21"/>
          <w:lang w:eastAsia="zh-CN"/>
        </w:rPr>
        <w:t>”“</w:t>
      </w:r>
      <w:r>
        <w:rPr>
          <w:rFonts w:hint="eastAsia"/>
          <w:bCs/>
          <w:szCs w:val="21"/>
        </w:rPr>
        <w:t>样品”等字样的。</w:t>
      </w:r>
    </w:p>
    <w:p>
      <w:pPr>
        <w:adjustRightInd w:val="0"/>
        <w:snapToGrid w:val="0"/>
        <w:spacing w:line="360" w:lineRule="auto"/>
        <w:ind w:firstLine="420" w:firstLineChars="200"/>
        <w:rPr>
          <w:bCs/>
          <w:szCs w:val="21"/>
        </w:rPr>
      </w:pPr>
      <w:r>
        <w:rPr>
          <w:rFonts w:hint="eastAsia"/>
          <w:bCs/>
          <w:szCs w:val="21"/>
        </w:rPr>
        <w:t>（二）封样及样品流转</w:t>
      </w:r>
    </w:p>
    <w:p>
      <w:pPr>
        <w:adjustRightInd w:val="0"/>
        <w:snapToGrid w:val="0"/>
        <w:spacing w:line="360" w:lineRule="auto"/>
        <w:ind w:firstLine="420" w:firstLineChars="200"/>
        <w:rPr>
          <w:bCs/>
          <w:szCs w:val="21"/>
        </w:rPr>
      </w:pPr>
      <w:r>
        <w:rPr>
          <w:rFonts w:hint="eastAsia"/>
          <w:bCs/>
          <w:szCs w:val="21"/>
        </w:rPr>
        <w:t>样品应由抽样人员进行封样，在包装上所有可能的开口处贴上封条。检验样品及备用样品分别封样，并对封好样的检验和备用样品分别加贴相应标识。抽取的样品应现场在受检单位代表在场的情况下通过拍照或者录像的方式留存证据。检验样品由抽样人员负责带回或寄送至检验机构，抽取的备份样品封存在受检企业。</w:t>
      </w:r>
    </w:p>
    <w:p>
      <w:pPr>
        <w:adjustRightInd w:val="0"/>
        <w:snapToGrid w:val="0"/>
        <w:spacing w:line="360" w:lineRule="auto"/>
        <w:ind w:firstLine="420" w:firstLineChars="200"/>
        <w:rPr>
          <w:bCs/>
          <w:szCs w:val="21"/>
        </w:rPr>
      </w:pPr>
      <w:r>
        <w:rPr>
          <w:rFonts w:hint="eastAsia"/>
          <w:bCs/>
          <w:szCs w:val="21"/>
        </w:rPr>
        <w:t>运输过程中防止雨淋、日晒、受潮，装卸时轻搬轻放，严禁掷抛。全程注意采取防爆和防泄漏的措施。</w:t>
      </w:r>
    </w:p>
    <w:p>
      <w:pPr>
        <w:adjustRightInd w:val="0"/>
        <w:snapToGrid w:val="0"/>
        <w:spacing w:line="360" w:lineRule="auto"/>
        <w:ind w:firstLine="420" w:firstLineChars="200"/>
        <w:rPr>
          <w:bCs/>
          <w:szCs w:val="21"/>
        </w:rPr>
      </w:pPr>
      <w:r>
        <w:rPr>
          <w:rFonts w:hint="eastAsia"/>
          <w:bCs/>
          <w:szCs w:val="21"/>
        </w:rPr>
        <w:t>（三）样品接收</w:t>
      </w:r>
    </w:p>
    <w:p>
      <w:pPr>
        <w:adjustRightInd w:val="0"/>
        <w:snapToGrid w:val="0"/>
        <w:spacing w:line="360" w:lineRule="auto"/>
        <w:ind w:firstLine="420" w:firstLineChars="200"/>
        <w:rPr>
          <w:rFonts w:hint="eastAsia"/>
          <w:bCs/>
          <w:szCs w:val="21"/>
        </w:rPr>
      </w:pPr>
      <w:r>
        <w:rPr>
          <w:rFonts w:hint="eastAsia"/>
          <w:bCs/>
          <w:szCs w:val="21"/>
        </w:rPr>
        <w:t>检验机构接收样品应当有专人负责检查、记录样品的外观、状态、封条有无破损及其它可能对检测结果或者综合判定产生影响的情况，应对关键过程进行拍照，确认样品与抽样单的记录是否相符，并填写样品接收表（注：当封条破损，样品有可能被调换或损坏，或样品与抽查样品不一致时，应立即上报组织监督抽查的市场监管部门，终止该样品的检验工作）。对检验样品和备份样品（如有）应加贴相应标识后入库。</w:t>
      </w:r>
    </w:p>
    <w:p>
      <w:pPr>
        <w:adjustRightInd w:val="0"/>
        <w:snapToGrid w:val="0"/>
        <w:spacing w:line="360" w:lineRule="auto"/>
        <w:rPr>
          <w:b/>
          <w:bCs/>
          <w:color w:val="000000"/>
          <w:szCs w:val="21"/>
        </w:rPr>
      </w:pPr>
      <w:r>
        <w:rPr>
          <w:rFonts w:hint="eastAsia"/>
          <w:b/>
          <w:bCs/>
          <w:color w:val="000000"/>
          <w:szCs w:val="21"/>
          <w:lang w:val="en-US" w:eastAsia="zh-CN"/>
        </w:rPr>
        <w:t>七</w:t>
      </w:r>
      <w:r>
        <w:rPr>
          <w:b/>
          <w:bCs/>
          <w:color w:val="000000"/>
          <w:szCs w:val="21"/>
        </w:rPr>
        <w:t>、检验应注意的问题</w:t>
      </w:r>
    </w:p>
    <w:p>
      <w:pPr>
        <w:spacing w:line="360" w:lineRule="auto"/>
        <w:ind w:firstLine="420" w:firstLineChars="200"/>
        <w:jc w:val="left"/>
        <w:rPr>
          <w:bCs/>
          <w:szCs w:val="21"/>
        </w:rPr>
      </w:pPr>
      <w:r>
        <w:rPr>
          <w:rFonts w:hint="eastAsia"/>
          <w:bCs/>
          <w:szCs w:val="21"/>
        </w:rPr>
        <w:t>（一）检验项目、检验方法、判定规则按照实施细则的规定执行。</w:t>
      </w:r>
    </w:p>
    <w:p>
      <w:pPr>
        <w:spacing w:line="360" w:lineRule="auto"/>
        <w:ind w:firstLine="420" w:firstLineChars="200"/>
        <w:jc w:val="left"/>
        <w:rPr>
          <w:bCs/>
          <w:szCs w:val="21"/>
        </w:rPr>
      </w:pPr>
      <w:r>
        <w:rPr>
          <w:rFonts w:hint="eastAsia"/>
          <w:bCs/>
          <w:szCs w:val="21"/>
        </w:rPr>
        <w:t>（二）对涉嫌存在无证无照、样品失效或者其他原因致使检验无法进行的，检验人员应当如实记录，并提供相关证明材料，报送组织监督抽查的市场监督管理部门。</w:t>
      </w:r>
    </w:p>
    <w:p>
      <w:pPr>
        <w:spacing w:line="360" w:lineRule="auto"/>
        <w:ind w:firstLine="420" w:firstLineChars="200"/>
        <w:jc w:val="left"/>
        <w:rPr>
          <w:bCs/>
          <w:szCs w:val="21"/>
        </w:rPr>
      </w:pPr>
      <w:r>
        <w:rPr>
          <w:rFonts w:hint="eastAsia"/>
          <w:bCs/>
          <w:szCs w:val="21"/>
        </w:rPr>
        <w:t>（三）承检机构严格遵循“即抽即检”原则，每批次样品严格按照检验周期完成检验。</w:t>
      </w:r>
    </w:p>
    <w:p>
      <w:pPr>
        <w:spacing w:line="360" w:lineRule="auto"/>
        <w:ind w:firstLine="420" w:firstLineChars="200"/>
        <w:jc w:val="left"/>
        <w:rPr>
          <w:bCs/>
          <w:szCs w:val="21"/>
        </w:rPr>
      </w:pPr>
      <w:r>
        <w:rPr>
          <w:rFonts w:hint="eastAsia"/>
          <w:bCs/>
          <w:szCs w:val="21"/>
        </w:rPr>
        <w:t>（四）检验报告应当内容真实齐全、数据准确、结论明确，不合格报告在上报数据前要组织抽样、检验等人员进行全链条的核查，确认抽样过程的规范性及检验结果的准确性。</w:t>
      </w:r>
    </w:p>
    <w:p>
      <w:pPr>
        <w:spacing w:line="360" w:lineRule="auto"/>
        <w:ind w:firstLine="420" w:firstLineChars="200"/>
        <w:jc w:val="left"/>
        <w:rPr>
          <w:bCs/>
          <w:szCs w:val="21"/>
        </w:rPr>
      </w:pPr>
      <w:r>
        <w:rPr>
          <w:rFonts w:hint="eastAsia"/>
          <w:bCs/>
          <w:szCs w:val="21"/>
        </w:rPr>
        <w:t>（五）检验工作中与生产企业联系确认产品信息的过程需要全程记录。</w:t>
      </w:r>
    </w:p>
    <w:p>
      <w:pPr>
        <w:spacing w:line="360" w:lineRule="auto"/>
        <w:ind w:firstLine="420" w:firstLineChars="200"/>
        <w:jc w:val="left"/>
        <w:rPr>
          <w:bCs/>
          <w:szCs w:val="21"/>
        </w:rPr>
      </w:pPr>
      <w:r>
        <w:rPr>
          <w:rFonts w:hint="eastAsia"/>
          <w:bCs/>
          <w:szCs w:val="21"/>
        </w:rPr>
        <w:t>（六）检验报告结论用语</w:t>
      </w:r>
    </w:p>
    <w:p>
      <w:pPr>
        <w:spacing w:line="360" w:lineRule="auto"/>
        <w:ind w:firstLine="420" w:firstLineChars="200"/>
        <w:jc w:val="left"/>
        <w:rPr>
          <w:bCs/>
          <w:szCs w:val="21"/>
        </w:rPr>
      </w:pPr>
      <w:r>
        <w:rPr>
          <w:rFonts w:hint="eastAsia"/>
          <w:bCs/>
          <w:szCs w:val="21"/>
          <w:lang w:eastAsia="zh-CN"/>
        </w:rPr>
        <w:t>1.</w:t>
      </w:r>
      <w:r>
        <w:rPr>
          <w:rFonts w:hint="eastAsia"/>
          <w:bCs/>
          <w:szCs w:val="21"/>
        </w:rPr>
        <w:t>检验合格结论用语：经抽样检验，所检项目符合XX标准，依据XX实施细则，判定</w:t>
      </w:r>
      <w:r>
        <w:rPr>
          <w:rFonts w:hint="eastAsia"/>
          <w:bCs/>
          <w:szCs w:val="21"/>
          <w:lang w:val="en-US" w:eastAsia="zh-CN"/>
        </w:rPr>
        <w:t>本次</w:t>
      </w:r>
      <w:r>
        <w:rPr>
          <w:rFonts w:hint="eastAsia"/>
          <w:bCs/>
          <w:szCs w:val="21"/>
        </w:rPr>
        <w:t>抽查产品未发现不合格</w:t>
      </w:r>
      <w:r>
        <w:rPr>
          <w:rFonts w:hint="eastAsia"/>
          <w:bCs/>
          <w:szCs w:val="21"/>
          <w:lang w:val="en-US" w:eastAsia="zh-CN"/>
        </w:rPr>
        <w:t>项目</w:t>
      </w:r>
      <w:r>
        <w:rPr>
          <w:rFonts w:hint="eastAsia"/>
          <w:bCs/>
          <w:szCs w:val="21"/>
        </w:rPr>
        <w:t>。</w:t>
      </w:r>
    </w:p>
    <w:p>
      <w:pPr>
        <w:spacing w:line="360" w:lineRule="auto"/>
        <w:ind w:firstLine="420" w:firstLineChars="200"/>
        <w:jc w:val="left"/>
        <w:rPr>
          <w:rFonts w:hint="eastAsia"/>
          <w:bCs/>
          <w:szCs w:val="21"/>
        </w:rPr>
      </w:pPr>
      <w:r>
        <w:rPr>
          <w:rFonts w:hint="eastAsia"/>
          <w:bCs/>
          <w:szCs w:val="21"/>
          <w:lang w:eastAsia="zh-CN"/>
        </w:rPr>
        <w:t>2.</w:t>
      </w:r>
      <w:r>
        <w:rPr>
          <w:rFonts w:hint="eastAsia"/>
          <w:bCs/>
          <w:szCs w:val="21"/>
        </w:rPr>
        <w:t>检验不合格结论用语：经抽样检验，XX项目不符合XX标准，依据XX实施细则，判定</w:t>
      </w:r>
      <w:r>
        <w:rPr>
          <w:rFonts w:hint="eastAsia"/>
          <w:bCs/>
          <w:szCs w:val="21"/>
          <w:lang w:val="en-US" w:eastAsia="zh-CN"/>
        </w:rPr>
        <w:t>本次</w:t>
      </w:r>
      <w:r>
        <w:rPr>
          <w:rFonts w:hint="eastAsia"/>
          <w:bCs/>
          <w:szCs w:val="21"/>
        </w:rPr>
        <w:t>抽查产品不合格。</w:t>
      </w:r>
    </w:p>
    <w:p>
      <w:pPr>
        <w:adjustRightInd w:val="0"/>
        <w:snapToGrid w:val="0"/>
        <w:spacing w:line="360" w:lineRule="auto"/>
        <w:rPr>
          <w:rFonts w:hint="eastAsia" w:hAnsi="宋体" w:cs="黑体"/>
          <w:b/>
          <w:bCs/>
          <w:szCs w:val="21"/>
        </w:rPr>
      </w:pPr>
      <w:r>
        <w:rPr>
          <w:rFonts w:hint="eastAsia"/>
          <w:b/>
          <w:bCs/>
          <w:color w:val="000000"/>
          <w:szCs w:val="21"/>
          <w:lang w:val="en-US" w:eastAsia="zh-CN"/>
        </w:rPr>
        <w:t>八</w:t>
      </w:r>
      <w:r>
        <w:rPr>
          <w:b/>
          <w:bCs/>
          <w:color w:val="000000"/>
          <w:szCs w:val="21"/>
        </w:rPr>
        <w:t>、</w:t>
      </w:r>
      <w:r>
        <w:rPr>
          <w:rFonts w:hint="eastAsia" w:hAnsi="宋体" w:cs="黑体"/>
          <w:b/>
          <w:bCs/>
          <w:szCs w:val="21"/>
        </w:rPr>
        <w:t>异议处理</w:t>
      </w:r>
    </w:p>
    <w:p>
      <w:pPr>
        <w:adjustRightInd w:val="0"/>
        <w:spacing w:line="480" w:lineRule="exact"/>
        <w:ind w:firstLine="420" w:firstLineChars="200"/>
        <w:contextualSpacing/>
        <w:jc w:val="left"/>
        <w:rPr>
          <w:rFonts w:hint="eastAsia" w:ascii="宋体" w:hAnsi="宋体"/>
          <w:szCs w:val="21"/>
        </w:rPr>
      </w:pPr>
      <w:r>
        <w:rPr>
          <w:rFonts w:hint="eastAsia"/>
          <w:bCs/>
          <w:szCs w:val="21"/>
        </w:rPr>
        <w:t>（一）</w:t>
      </w:r>
      <w:r>
        <w:rPr>
          <w:rFonts w:hint="eastAsia" w:ascii="宋体" w:hAnsi="宋体"/>
          <w:szCs w:val="21"/>
        </w:rPr>
        <w:t>被抽样单位对检验结果有异议的，应在收到抽查结果通知书之日</w:t>
      </w:r>
      <w:r>
        <w:rPr>
          <w:rFonts w:hint="eastAsia" w:ascii="宋体" w:hAnsi="宋体"/>
          <w:szCs w:val="21"/>
          <w:lang w:eastAsia="zh-CN"/>
        </w:rPr>
        <w:t>（以</w:t>
      </w:r>
      <w:r>
        <w:rPr>
          <w:rFonts w:hint="eastAsia" w:ascii="宋体" w:hAnsi="宋体"/>
          <w:szCs w:val="21"/>
        </w:rPr>
        <w:t>邮局签收记录为准）起15日内向当地市场监督管理部门提出书面复检申请并阐明理由，由当地市场监督管理部门组织研究，确定复检机构进行复检。</w:t>
      </w:r>
    </w:p>
    <w:p>
      <w:pPr>
        <w:adjustRightInd w:val="0"/>
        <w:spacing w:line="480" w:lineRule="exact"/>
        <w:ind w:firstLine="420" w:firstLineChars="200"/>
        <w:contextualSpacing/>
        <w:jc w:val="left"/>
        <w:rPr>
          <w:rFonts w:hint="eastAsia" w:ascii="宋体" w:hAnsi="宋体"/>
          <w:szCs w:val="21"/>
        </w:rPr>
      </w:pPr>
      <w:r>
        <w:rPr>
          <w:rFonts w:hint="eastAsia"/>
          <w:bCs/>
          <w:szCs w:val="21"/>
        </w:rPr>
        <w:t>（二）</w:t>
      </w:r>
      <w:r>
        <w:rPr>
          <w:rFonts w:hint="eastAsia" w:ascii="宋体" w:hAnsi="宋体"/>
          <w:szCs w:val="21"/>
        </w:rPr>
        <w:t>被抽样单位对抽样过程、样品真实性等有异议的，应向当地市场监督管理部门提交异议处理申请，当地市场监督管理部门应当在收到异议处理申请后组织异议处理，并将处理结论书面告知申请人。</w:t>
      </w:r>
    </w:p>
    <w:p>
      <w:pPr>
        <w:adjustRightInd w:val="0"/>
        <w:spacing w:line="480" w:lineRule="exact"/>
        <w:ind w:firstLine="420" w:firstLineChars="200"/>
        <w:contextualSpacing/>
        <w:jc w:val="left"/>
        <w:rPr>
          <w:rFonts w:hint="eastAsia" w:ascii="宋体" w:hAnsi="宋体"/>
          <w:szCs w:val="21"/>
        </w:rPr>
      </w:pPr>
      <w:r>
        <w:rPr>
          <w:rFonts w:hint="eastAsia"/>
          <w:bCs/>
          <w:szCs w:val="21"/>
        </w:rPr>
        <w:t>（三）</w:t>
      </w:r>
      <w:r>
        <w:rPr>
          <w:rFonts w:hint="eastAsia" w:ascii="宋体" w:hAnsi="宋体"/>
          <w:szCs w:val="21"/>
        </w:rPr>
        <w:t>复检机构应当通过拍照或者录像的方式检查记录备用样品的外观、状态、封条有无破损以及其他可能对检验结论产生影响的情形，并核对备用样品与抽样文书的记录是否相符。</w:t>
      </w:r>
    </w:p>
    <w:p>
      <w:pPr>
        <w:adjustRightInd w:val="0"/>
        <w:spacing w:line="480" w:lineRule="exact"/>
        <w:ind w:firstLine="420" w:firstLineChars="200"/>
        <w:contextualSpacing/>
        <w:jc w:val="left"/>
        <w:rPr>
          <w:rFonts w:hint="eastAsia" w:ascii="宋体" w:hAnsi="宋体"/>
          <w:szCs w:val="21"/>
        </w:rPr>
      </w:pPr>
      <w:r>
        <w:rPr>
          <w:rFonts w:hint="eastAsia"/>
          <w:bCs/>
          <w:szCs w:val="21"/>
        </w:rPr>
        <w:t>（四）</w:t>
      </w:r>
      <w:r>
        <w:rPr>
          <w:rFonts w:hint="eastAsia" w:ascii="宋体" w:hAnsi="宋体"/>
          <w:szCs w:val="21"/>
        </w:rPr>
        <w:t>复检机构应当在规定时间内按照监督抽查实施细则所规定的检验方法、判定规则等对与异议相关的检验项目进行复检，并将复检结论及时报送组织复检的当地市场监督管理部门，由当地市场监督管理部门书面告知复检申请人。复检结论为最终结论。</w:t>
      </w:r>
    </w:p>
    <w:p>
      <w:pPr>
        <w:adjustRightInd w:val="0"/>
        <w:spacing w:line="360" w:lineRule="auto"/>
        <w:ind w:firstLine="420" w:firstLineChars="200"/>
        <w:contextualSpacing/>
        <w:jc w:val="left"/>
        <w:rPr>
          <w:rFonts w:ascii="宋体" w:hAnsi="宋体"/>
          <w:szCs w:val="21"/>
        </w:rPr>
      </w:pPr>
      <w:r>
        <w:rPr>
          <w:rFonts w:hint="eastAsia"/>
          <w:bCs/>
          <w:szCs w:val="21"/>
        </w:rPr>
        <w:t>（五）</w:t>
      </w:r>
      <w:r>
        <w:rPr>
          <w:rFonts w:hint="eastAsia" w:ascii="宋体" w:hAnsi="宋体"/>
          <w:szCs w:val="21"/>
        </w:rPr>
        <w:t>复检费用由申请人向复检机构先行支付。复检结论与初检结论一致的，复检费用由申请人承担；与初检结论不一致的，复检费用由组织监督抽查的市场监督管理部门承担。</w:t>
      </w:r>
    </w:p>
    <w:p>
      <w:pPr>
        <w:pStyle w:val="3"/>
        <w:spacing w:line="360" w:lineRule="auto"/>
        <w:rPr>
          <w:rFonts w:hint="eastAsia"/>
          <w:b/>
          <w:szCs w:val="21"/>
        </w:rPr>
      </w:pPr>
      <w:r>
        <w:rPr>
          <w:rFonts w:hint="eastAsia"/>
          <w:b/>
          <w:szCs w:val="21"/>
          <w:lang w:val="en-US" w:eastAsia="zh-CN"/>
        </w:rPr>
        <w:t>九</w:t>
      </w:r>
      <w:r>
        <w:rPr>
          <w:rFonts w:hint="eastAsia"/>
          <w:b/>
          <w:szCs w:val="21"/>
        </w:rPr>
        <w:t>、检毕样品处置</w:t>
      </w:r>
    </w:p>
    <w:p>
      <w:pPr>
        <w:spacing w:line="360" w:lineRule="auto"/>
        <w:ind w:firstLine="420" w:firstLineChars="200"/>
        <w:jc w:val="left"/>
        <w:rPr>
          <w:rFonts w:hint="eastAsia"/>
          <w:bCs/>
          <w:szCs w:val="21"/>
        </w:rPr>
      </w:pPr>
      <w:r>
        <w:rPr>
          <w:rFonts w:hint="eastAsia"/>
          <w:bCs/>
          <w:szCs w:val="21"/>
        </w:rPr>
        <w:t>本次监督抽查的样品，抽样机构、检验机构应当按规定履行样品保管责任，并按照协议、合同和监督抽查方案中有关规定，自行组织或委托样品评估、拍卖、销毁等处置机构开展样品处置。</w:t>
      </w:r>
    </w:p>
    <w:p>
      <w:pPr>
        <w:spacing w:line="360" w:lineRule="auto"/>
        <w:ind w:firstLine="420" w:firstLineChars="200"/>
        <w:jc w:val="left"/>
        <w:rPr>
          <w:rFonts w:hint="eastAsia"/>
          <w:bCs/>
          <w:szCs w:val="21"/>
        </w:rPr>
      </w:pPr>
      <w:r>
        <w:rPr>
          <w:rFonts w:hint="eastAsia"/>
          <w:bCs/>
          <w:szCs w:val="21"/>
        </w:rPr>
        <w:t>（一）样品除检验已损耗外，检验后的残次品和其余样品由检验机构按有关规定委托有机废物专业处理机构处理。</w:t>
      </w:r>
    </w:p>
    <w:p>
      <w:pPr>
        <w:spacing w:line="360" w:lineRule="auto"/>
        <w:ind w:firstLine="420" w:firstLineChars="200"/>
        <w:jc w:val="left"/>
        <w:rPr>
          <w:rFonts w:hint="eastAsia"/>
          <w:bCs/>
          <w:szCs w:val="21"/>
        </w:rPr>
      </w:pPr>
      <w:r>
        <w:rPr>
          <w:rFonts w:hint="eastAsia"/>
          <w:bCs/>
          <w:szCs w:val="21"/>
        </w:rPr>
        <w:t>（二）备用样品处置：本次抽查中备样由受检单位先行免费提供，并封存在受检单位处。受检单位在接收到检验结论告知书前不可自行处置备用样品。检验结果为合格的备样，检验结果异议期满后受检单位自行解封。检验结论为不合格的备样，由属地市场监管部门监督受检单位依法妥善处理，不得将不合格产品流入市场。</w:t>
      </w:r>
    </w:p>
    <w:p>
      <w:pPr>
        <w:spacing w:line="360" w:lineRule="auto"/>
        <w:ind w:firstLine="420" w:firstLineChars="200"/>
        <w:jc w:val="left"/>
        <w:rPr>
          <w:rFonts w:hint="eastAsia"/>
          <w:bCs/>
          <w:szCs w:val="21"/>
        </w:rPr>
      </w:pPr>
      <w:r>
        <w:rPr>
          <w:rFonts w:hint="eastAsia"/>
          <w:bCs/>
          <w:szCs w:val="21"/>
        </w:rPr>
        <w:t>（三）付费样品处置：检验结果为合格的付费样品留样期为检验工作完成、出具检验报告后三个月；检验不合格的付费样品留样期为检验工作完成、 出具检验报告后六个月。对检验结果有异议的样品，按照</w:t>
      </w:r>
      <w:r>
        <w:rPr>
          <w:rFonts w:hint="eastAsia"/>
          <w:bCs/>
          <w:szCs w:val="21"/>
          <w:lang w:eastAsia="zh-CN"/>
        </w:rPr>
        <w:t>法律法规</w:t>
      </w:r>
      <w:r>
        <w:rPr>
          <w:rFonts w:hint="eastAsia"/>
          <w:bCs/>
          <w:szCs w:val="21"/>
        </w:rPr>
        <w:t>、规章规定和实际需要保留至规定期限。</w:t>
      </w:r>
    </w:p>
    <w:p>
      <w:pPr>
        <w:spacing w:line="360" w:lineRule="auto"/>
        <w:ind w:firstLine="420" w:firstLineChars="200"/>
        <w:jc w:val="left"/>
        <w:rPr>
          <w:rFonts w:hint="eastAsia"/>
          <w:bCs/>
          <w:szCs w:val="21"/>
        </w:rPr>
      </w:pPr>
      <w:r>
        <w:rPr>
          <w:rFonts w:hint="eastAsia"/>
          <w:bCs/>
          <w:szCs w:val="21"/>
        </w:rPr>
        <w:t>（四）无偿提供样品处置：检验结果为合格的未付费样品，应当在检验结果异议期满后及时退还受检单位；检验结果为不合格的未付费样品，应当在检验结果异议期满三个月后依法处理，不合格样品不得用于销售。未付费样品因检验造成破坏或者损耗而无法退还的，检验机构应当向受检单位说明情况。受检单位提出样品不退还的，由检验机构按相关要求自行处置。</w:t>
      </w:r>
    </w:p>
    <w:p>
      <w:pPr>
        <w:spacing w:line="360" w:lineRule="auto"/>
        <w:ind w:firstLine="420" w:firstLineChars="200"/>
        <w:jc w:val="left"/>
      </w:pPr>
      <w:r>
        <w:rPr>
          <w:rFonts w:hint="eastAsia"/>
          <w:bCs/>
          <w:szCs w:val="21"/>
        </w:rPr>
        <w:t>（五）留样期满后，付费的样品除检验已损耗外，应当根据现状、用途按照销毁方式处置。</w:t>
      </w:r>
    </w:p>
    <w:p>
      <w:pPr>
        <w:adjustRightInd w:val="0"/>
        <w:snapToGrid w:val="0"/>
        <w:spacing w:line="360" w:lineRule="auto"/>
        <w:rPr>
          <w:b/>
          <w:bCs/>
          <w:color w:val="000000"/>
          <w:szCs w:val="21"/>
        </w:rPr>
      </w:pPr>
      <w:r>
        <w:rPr>
          <w:rFonts w:hint="eastAsia"/>
          <w:b/>
          <w:bCs/>
          <w:color w:val="000000"/>
          <w:szCs w:val="21"/>
          <w:lang w:val="en-US" w:eastAsia="zh-CN"/>
        </w:rPr>
        <w:t>十</w:t>
      </w:r>
      <w:r>
        <w:rPr>
          <w:b/>
          <w:bCs/>
          <w:color w:val="000000"/>
          <w:szCs w:val="21"/>
        </w:rPr>
        <w:t>、其他注意事项</w:t>
      </w:r>
    </w:p>
    <w:p>
      <w:pPr>
        <w:adjustRightInd w:val="0"/>
        <w:snapToGrid w:val="0"/>
        <w:spacing w:line="360" w:lineRule="auto"/>
        <w:ind w:firstLine="420" w:firstLineChars="200"/>
        <w:rPr>
          <w:rFonts w:hint="eastAsia"/>
        </w:rPr>
      </w:pPr>
      <w:r>
        <w:rPr>
          <w:rFonts w:hint="eastAsia" w:ascii="宋体" w:hAnsi="宋体" w:cs="宋体"/>
          <w:szCs w:val="21"/>
        </w:rPr>
        <w:t>本方案未覆盖的条款可参照《产品质量监督抽查管理暂行办法》。</w:t>
      </w: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val="0"/>
          <w:bCs w:val="0"/>
          <w:color w:val="auto"/>
          <w:sz w:val="31"/>
          <w:szCs w:val="31"/>
          <w:lang w:val="en-US" w:eastAsia="zh-CN"/>
        </w:rPr>
      </w:pPr>
    </w:p>
    <w:p>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color w:val="auto"/>
          <w:sz w:val="31"/>
          <w:szCs w:val="31"/>
          <w:lang w:val="en-US" w:eastAsia="zh-CN"/>
        </w:rPr>
      </w:pPr>
      <w:bookmarkStart w:id="0" w:name="_GoBack"/>
      <w:bookmarkEnd w:id="0"/>
    </w:p>
    <w:sectPr>
      <w:headerReference r:id="rId3" w:type="default"/>
      <w:footerReference r:id="rId4" w:type="default"/>
      <w:pgSz w:w="11906" w:h="16838"/>
      <w:pgMar w:top="1871" w:right="1304" w:bottom="198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35942"/>
    <w:multiLevelType w:val="singleLevel"/>
    <w:tmpl w:val="C7A3594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mQ5OTM5Y2E2OWI2ZjYzZmU3MjdmNWYyZTRmNmMifQ=="/>
  </w:docVars>
  <w:rsids>
    <w:rsidRoot w:val="134E109D"/>
    <w:rsid w:val="05457D11"/>
    <w:rsid w:val="063C4DCA"/>
    <w:rsid w:val="06F03EFF"/>
    <w:rsid w:val="07B44CAA"/>
    <w:rsid w:val="089B1342"/>
    <w:rsid w:val="0A952126"/>
    <w:rsid w:val="0EB74BB2"/>
    <w:rsid w:val="10DE3B24"/>
    <w:rsid w:val="134E109D"/>
    <w:rsid w:val="15D62A35"/>
    <w:rsid w:val="1992735F"/>
    <w:rsid w:val="1C7E55CF"/>
    <w:rsid w:val="1E5D54DC"/>
    <w:rsid w:val="1FB2570B"/>
    <w:rsid w:val="20D62F06"/>
    <w:rsid w:val="21881BCA"/>
    <w:rsid w:val="21B22F90"/>
    <w:rsid w:val="2208666C"/>
    <w:rsid w:val="23FC3FAF"/>
    <w:rsid w:val="2C8F325B"/>
    <w:rsid w:val="2F217439"/>
    <w:rsid w:val="2F5049F7"/>
    <w:rsid w:val="308F02A5"/>
    <w:rsid w:val="37133F3F"/>
    <w:rsid w:val="4819535F"/>
    <w:rsid w:val="495E7928"/>
    <w:rsid w:val="4E9866E7"/>
    <w:rsid w:val="502150D5"/>
    <w:rsid w:val="52B262DE"/>
    <w:rsid w:val="5C297C37"/>
    <w:rsid w:val="5E3C30F2"/>
    <w:rsid w:val="5EA46143"/>
    <w:rsid w:val="5EFD5AFE"/>
    <w:rsid w:val="622F79DB"/>
    <w:rsid w:val="626A25FE"/>
    <w:rsid w:val="684526E2"/>
    <w:rsid w:val="6B304730"/>
    <w:rsid w:val="6E827F54"/>
    <w:rsid w:val="6F2E7E75"/>
    <w:rsid w:val="70EC0E01"/>
    <w:rsid w:val="73B96458"/>
    <w:rsid w:val="78304CBF"/>
    <w:rsid w:val="78A9057F"/>
    <w:rsid w:val="7DB9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page number"/>
    <w:qFormat/>
    <w:uiPriority w:val="0"/>
  </w:style>
  <w:style w:type="paragraph" w:customStyle="1" w:styleId="11">
    <w:name w:val="BodyTextIndent3"/>
    <w:basedOn w:val="1"/>
    <w:qFormat/>
    <w:uiPriority w:val="0"/>
    <w:pPr>
      <w:widowControl/>
      <w:snapToGrid w:val="0"/>
      <w:spacing w:line="600" w:lineRule="exact"/>
      <w:ind w:left="646" w:leftChars="323" w:firstLine="643" w:firstLineChars="201"/>
      <w:textAlignment w:val="baseline"/>
    </w:pPr>
    <w:rPr>
      <w:rFonts w:ascii="仿宋_GB2312" w:hAnsi="Calibri" w:eastAsia="仿宋_GB2312"/>
      <w:kern w:val="0"/>
      <w:sz w:val="32"/>
      <w:szCs w:val="20"/>
    </w:rPr>
  </w:style>
  <w:style w:type="character" w:customStyle="1" w:styleId="12">
    <w:name w:val="NormalCharacter"/>
    <w:semiHidden/>
    <w:qFormat/>
    <w:uiPriority w:val="0"/>
  </w:style>
  <w:style w:type="character" w:customStyle="1" w:styleId="13">
    <w:name w:val="Page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14452</Words>
  <Characters>16014</Characters>
  <Lines>0</Lines>
  <Paragraphs>0</Paragraphs>
  <TotalTime>147</TotalTime>
  <ScaleCrop>false</ScaleCrop>
  <LinksUpToDate>false</LinksUpToDate>
  <CharactersWithSpaces>16293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2023-08-20T09:01:00Z</dcterms:created>
  <dc:creator>wyp</dc:creator>
  <cp:lastModifiedBy>89749</cp:lastModifiedBy>
  <cp:lastPrinted>2025-12-24T08:48:00Z</cp:lastPrinted>
  <dcterms:modified xsi:type="dcterms:W3CDTF">2025-12-25T08:44:54Z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A41E7FB830064E20BE0ADEC9A2B9C826_13</vt:lpwstr>
  </property>
  <property fmtid="{D5CDD505-2E9C-101B-9397-08002B2CF9AE}" pid="4" name="KSOTemplateDocerSaveRecord">
    <vt:lpwstr>eyJoZGlkIjoiNmQ5YmJmZGE5YzI5MjExYzdlNDM5ZTJkNzRiNTczYTMiLCJ1c2VySWQiOiI2MjE0MzI4NjEifQ==</vt:lpwstr>
  </property>
</Properties>
</file>