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附件2：</w:t>
      </w:r>
    </w:p>
    <w:p>
      <w:pPr>
        <w:keepNext w:val="0"/>
        <w:keepLines w:val="0"/>
        <w:pageBreakBefore w:val="0"/>
        <w:widowControl w:val="0"/>
        <w:tabs>
          <w:tab w:val="left" w:pos="6930"/>
        </w:tabs>
        <w:kinsoku/>
        <w:wordWrap/>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rPr>
        <w:t>2026年和静县车用尿素水溶液产品质量监督抽查细则</w:t>
      </w:r>
    </w:p>
    <w:p>
      <w:pPr>
        <w:keepNext w:val="0"/>
        <w:keepLines w:val="0"/>
        <w:pageBreakBefore w:val="0"/>
        <w:kinsoku/>
        <w:wordWrap/>
        <w:overflowPunct/>
        <w:topLinePunct w:val="0"/>
        <w:autoSpaceDE/>
        <w:autoSpaceDN/>
        <w:bidi w:val="0"/>
        <w:adjustRightInd/>
        <w:snapToGrid/>
        <w:spacing w:line="240" w:lineRule="auto"/>
        <w:ind w:firstLine="420" w:firstLineChars="200"/>
        <w:rPr>
          <w:rStyle w:val="12"/>
          <w:rFonts w:hint="eastAsia" w:ascii="宋体" w:hAnsi="宋体" w:eastAsia="宋体" w:cs="宋体"/>
          <w:b w:val="0"/>
          <w:bCs w:val="0"/>
          <w:color w:val="auto"/>
          <w:sz w:val="21"/>
          <w:szCs w:val="21"/>
          <w:lang w:val="en-US" w:eastAsia="zh-CN"/>
        </w:rPr>
      </w:pPr>
      <w:r>
        <w:rPr>
          <w:rStyle w:val="12"/>
          <w:rFonts w:hint="eastAsia" w:ascii="宋体" w:hAnsi="宋体" w:eastAsia="宋体" w:cs="宋体"/>
          <w:b w:val="0"/>
          <w:bCs w:val="0"/>
          <w:color w:val="auto"/>
          <w:sz w:val="21"/>
          <w:szCs w:val="21"/>
          <w:lang w:val="en-US" w:eastAsia="zh-CN"/>
        </w:rPr>
        <w:t>1 抽样方法</w:t>
      </w:r>
    </w:p>
    <w:p>
      <w:pPr>
        <w:snapToGrid w:val="0"/>
        <w:spacing w:line="440" w:lineRule="exact"/>
        <w:ind w:firstLine="420" w:firstLineChars="200"/>
        <w:rPr>
          <w:rFonts w:hint="eastAsia"/>
          <w:szCs w:val="21"/>
          <w:lang w:val="en-US" w:eastAsia="zh-CN"/>
        </w:rPr>
      </w:pPr>
      <w:r>
        <w:rPr>
          <w:rFonts w:hint="eastAsia"/>
          <w:szCs w:val="21"/>
          <w:lang w:val="en-US" w:eastAsia="zh-CN"/>
        </w:rPr>
        <w:t>以随机抽样的方式在被抽样生产者、销售者的待销产品中抽取有产品质量检验合格证明或者以其他形式标明合格的，且在保质期内的产品。抽取样品应为同一型号规格、同一批次样品。</w:t>
      </w:r>
    </w:p>
    <w:p>
      <w:pPr>
        <w:snapToGrid w:val="0"/>
        <w:spacing w:line="440" w:lineRule="exact"/>
        <w:ind w:firstLine="420" w:firstLineChars="200"/>
        <w:rPr>
          <w:rFonts w:hint="eastAsia"/>
          <w:szCs w:val="21"/>
          <w:lang w:val="en-US" w:eastAsia="zh-CN"/>
        </w:rPr>
      </w:pPr>
      <w:r>
        <w:rPr>
          <w:rFonts w:hint="eastAsia"/>
          <w:szCs w:val="21"/>
          <w:lang w:val="en-US" w:eastAsia="zh-CN"/>
        </w:rPr>
        <w:t>每批次产品抽取两份，每份不</w:t>
      </w:r>
      <w:bookmarkStart w:id="0" w:name="_Hlk67497541"/>
      <w:r>
        <w:rPr>
          <w:rFonts w:hint="eastAsia"/>
          <w:szCs w:val="21"/>
          <w:lang w:val="en-US" w:eastAsia="zh-CN"/>
        </w:rPr>
        <w:t>少</w:t>
      </w:r>
      <w:bookmarkEnd w:id="0"/>
      <w:r>
        <w:rPr>
          <w:rFonts w:hint="eastAsia"/>
          <w:szCs w:val="21"/>
          <w:lang w:val="en-US" w:eastAsia="zh-CN"/>
        </w:rPr>
        <w:t>于2L。如产品独立包装大于50L，使用符合GB 29518-2013 《柴油发动机氮氧化物还原剂 尿素水溶液（AUS32）》附录I要求的包装物进行分装取样。其中1份作为检验样品，1份作为备用样品。</w:t>
      </w:r>
    </w:p>
    <w:p>
      <w:pPr>
        <w:snapToGrid w:val="0"/>
        <w:spacing w:line="440" w:lineRule="exact"/>
        <w:ind w:firstLine="420" w:firstLineChars="200"/>
        <w:rPr>
          <w:rFonts w:hint="eastAsia"/>
          <w:szCs w:val="21"/>
          <w:lang w:val="en-US" w:eastAsia="zh-CN"/>
        </w:rPr>
      </w:pPr>
      <w:r>
        <w:rPr>
          <w:rFonts w:hint="eastAsia"/>
          <w:szCs w:val="21"/>
          <w:lang w:val="en-US" w:eastAsia="zh-CN"/>
        </w:rPr>
        <w:t>2 检验依据表</w:t>
      </w:r>
    </w:p>
    <w:p>
      <w:pPr>
        <w:adjustRightInd w:val="0"/>
        <w:snapToGrid w:val="0"/>
        <w:spacing w:line="440" w:lineRule="exact"/>
        <w:ind w:firstLine="2730" w:firstLineChars="1300"/>
        <w:outlineLvl w:val="1"/>
        <w:rPr>
          <w:rFonts w:hint="eastAsia" w:ascii="宋体" w:hAnsi="宋体" w:eastAsia="宋体" w:cs="宋体"/>
          <w:sz w:val="21"/>
          <w:szCs w:val="21"/>
        </w:rPr>
      </w:pPr>
      <w:r>
        <w:rPr>
          <w:rFonts w:hint="eastAsia" w:ascii="宋体" w:hAnsi="宋体" w:eastAsia="宋体" w:cs="宋体"/>
          <w:sz w:val="21"/>
          <w:szCs w:val="21"/>
        </w:rPr>
        <w:t>表1 车用</w:t>
      </w:r>
      <w:r>
        <w:rPr>
          <w:rFonts w:hint="eastAsia" w:ascii="宋体" w:hAnsi="宋体" w:eastAsia="宋体" w:cs="宋体"/>
          <w:sz w:val="21"/>
          <w:szCs w:val="21"/>
          <w:lang w:val="en-US" w:eastAsia="zh-CN"/>
        </w:rPr>
        <w:t>尿素水溶液</w:t>
      </w:r>
    </w:p>
    <w:p>
      <w:pPr>
        <w:spacing w:line="300" w:lineRule="exact"/>
        <w:rPr>
          <w:rFonts w:hint="eastAsia" w:ascii="宋体" w:hAnsi="宋体" w:eastAsia="宋体" w:cs="宋体"/>
          <w:b w:val="0"/>
          <w:bCs w:val="0"/>
          <w:color w:val="auto"/>
          <w:sz w:val="21"/>
          <w:szCs w:val="21"/>
        </w:rPr>
      </w:pPr>
    </w:p>
    <w:tbl>
      <w:tblPr>
        <w:tblStyle w:val="8"/>
        <w:tblW w:w="49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5"/>
        <w:gridCol w:w="3241"/>
        <w:gridCol w:w="4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94" w:type="pct"/>
            <w:vMerge w:val="restar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序号</w:t>
            </w:r>
          </w:p>
        </w:tc>
        <w:tc>
          <w:tcPr>
            <w:tcW w:w="1709" w:type="pct"/>
            <w:vMerge w:val="restar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检验项目</w:t>
            </w:r>
          </w:p>
        </w:tc>
        <w:tc>
          <w:tcPr>
            <w:tcW w:w="2495" w:type="pct"/>
            <w:vMerge w:val="restar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794" w:type="pct"/>
            <w:vMerge w:val="continue"/>
            <w:noWrap w:val="0"/>
            <w:vAlign w:val="center"/>
          </w:tcPr>
          <w:p>
            <w:pPr>
              <w:snapToGrid w:val="0"/>
              <w:spacing w:line="440" w:lineRule="exact"/>
              <w:ind w:firstLine="420" w:firstLineChars="200"/>
              <w:jc w:val="center"/>
              <w:rPr>
                <w:rFonts w:hint="eastAsia"/>
                <w:szCs w:val="21"/>
                <w:lang w:val="en-US" w:eastAsia="zh-CN"/>
              </w:rPr>
            </w:pPr>
          </w:p>
        </w:tc>
        <w:tc>
          <w:tcPr>
            <w:tcW w:w="1709" w:type="pct"/>
            <w:vMerge w:val="continue"/>
            <w:noWrap w:val="0"/>
            <w:vAlign w:val="center"/>
          </w:tcPr>
          <w:p>
            <w:pPr>
              <w:snapToGrid w:val="0"/>
              <w:spacing w:line="440" w:lineRule="exact"/>
              <w:ind w:firstLine="420" w:firstLineChars="200"/>
              <w:jc w:val="center"/>
              <w:rPr>
                <w:rFonts w:hint="eastAsia"/>
                <w:szCs w:val="21"/>
                <w:lang w:val="en-US" w:eastAsia="zh-CN"/>
              </w:rPr>
            </w:pPr>
          </w:p>
        </w:tc>
        <w:tc>
          <w:tcPr>
            <w:tcW w:w="2495" w:type="pct"/>
            <w:vMerge w:val="continue"/>
            <w:noWrap w:val="0"/>
            <w:vAlign w:val="center"/>
          </w:tcPr>
          <w:p>
            <w:pPr>
              <w:snapToGrid w:val="0"/>
              <w:spacing w:line="440" w:lineRule="exact"/>
              <w:ind w:firstLine="420" w:firstLineChars="200"/>
              <w:jc w:val="center"/>
              <w:rPr>
                <w:rFonts w:hint="eastAsia"/>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794"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1</w:t>
            </w:r>
          </w:p>
        </w:tc>
        <w:tc>
          <w:tcPr>
            <w:tcW w:w="1709"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尿素含量</w:t>
            </w:r>
          </w:p>
        </w:tc>
        <w:tc>
          <w:tcPr>
            <w:tcW w:w="2495"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GB 29518-2013附录 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794"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2</w:t>
            </w:r>
          </w:p>
        </w:tc>
        <w:tc>
          <w:tcPr>
            <w:tcW w:w="1709"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密度</w:t>
            </w:r>
          </w:p>
        </w:tc>
        <w:tc>
          <w:tcPr>
            <w:tcW w:w="2495"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SH/T 0604-2000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794"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3</w:t>
            </w:r>
          </w:p>
        </w:tc>
        <w:tc>
          <w:tcPr>
            <w:tcW w:w="1709"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缩二脲</w:t>
            </w:r>
          </w:p>
        </w:tc>
        <w:tc>
          <w:tcPr>
            <w:tcW w:w="2495"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GB 29518-2013附录 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794"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4</w:t>
            </w:r>
          </w:p>
        </w:tc>
        <w:tc>
          <w:tcPr>
            <w:tcW w:w="1709"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醛类</w:t>
            </w:r>
          </w:p>
        </w:tc>
        <w:tc>
          <w:tcPr>
            <w:tcW w:w="2495"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GB 29518-2013附录 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794"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5</w:t>
            </w:r>
          </w:p>
        </w:tc>
        <w:tc>
          <w:tcPr>
            <w:tcW w:w="1709"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不溶物</w:t>
            </w:r>
          </w:p>
        </w:tc>
        <w:tc>
          <w:tcPr>
            <w:tcW w:w="2495"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GB 29518-2013附录 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794"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6</w:t>
            </w:r>
          </w:p>
        </w:tc>
        <w:tc>
          <w:tcPr>
            <w:tcW w:w="1709"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磷酸盐</w:t>
            </w:r>
          </w:p>
        </w:tc>
        <w:tc>
          <w:tcPr>
            <w:tcW w:w="2495" w:type="pct"/>
            <w:noWrap w:val="0"/>
            <w:vAlign w:val="center"/>
          </w:tcPr>
          <w:p>
            <w:pPr>
              <w:snapToGrid w:val="0"/>
              <w:spacing w:line="440" w:lineRule="exact"/>
              <w:ind w:firstLine="420" w:firstLineChars="200"/>
              <w:jc w:val="center"/>
              <w:rPr>
                <w:rFonts w:hint="eastAsia"/>
                <w:szCs w:val="21"/>
                <w:lang w:val="en-US" w:eastAsia="zh-CN"/>
              </w:rPr>
            </w:pPr>
            <w:r>
              <w:rPr>
                <w:rFonts w:hint="eastAsia"/>
                <w:szCs w:val="21"/>
                <w:lang w:val="en-US" w:eastAsia="zh-CN"/>
              </w:rPr>
              <w:t>GB 29518-2013附录 F</w:t>
            </w:r>
          </w:p>
        </w:tc>
      </w:tr>
    </w:tbl>
    <w:p>
      <w:pPr>
        <w:snapToGrid w:val="0"/>
        <w:spacing w:line="440" w:lineRule="exact"/>
        <w:ind w:firstLine="420" w:firstLineChars="200"/>
        <w:rPr>
          <w:rFonts w:hint="eastAsia"/>
          <w:szCs w:val="21"/>
          <w:lang w:val="en-US" w:eastAsia="zh-CN"/>
        </w:rPr>
      </w:pPr>
      <w:r>
        <w:rPr>
          <w:rFonts w:hint="eastAsia"/>
          <w:szCs w:val="21"/>
          <w:lang w:val="en-US" w:eastAsia="zh-CN"/>
        </w:rPr>
        <w:t>执行企业标准、团体标准、地方标准的产品，检验项目参照上述内容执行。</w:t>
      </w:r>
    </w:p>
    <w:p>
      <w:pPr>
        <w:snapToGrid w:val="0"/>
        <w:spacing w:line="440" w:lineRule="exact"/>
        <w:ind w:firstLine="420" w:firstLineChars="200"/>
        <w:rPr>
          <w:rFonts w:hint="eastAsia"/>
          <w:szCs w:val="21"/>
          <w:lang w:val="en-US" w:eastAsia="zh-CN"/>
        </w:rPr>
      </w:pPr>
      <w:r>
        <w:rPr>
          <w:rFonts w:hint="eastAsia"/>
          <w:szCs w:val="21"/>
          <w:lang w:val="en-US" w:eastAsia="zh-CN"/>
        </w:rPr>
        <w:t>凡是注日期的文件，其随后所有的修改单（不包括勘误的内容）或修订版不适用于本细则。凡是不注日期的文件，其最新版本适用于本细则。</w:t>
      </w:r>
    </w:p>
    <w:p>
      <w:pPr>
        <w:snapToGrid w:val="0"/>
        <w:spacing w:line="440" w:lineRule="exact"/>
        <w:ind w:firstLine="420" w:firstLineChars="200"/>
        <w:rPr>
          <w:rFonts w:hint="eastAsia"/>
          <w:szCs w:val="21"/>
          <w:lang w:val="en-US" w:eastAsia="zh-CN"/>
        </w:rPr>
      </w:pPr>
      <w:r>
        <w:rPr>
          <w:rFonts w:hint="eastAsia"/>
          <w:szCs w:val="21"/>
          <w:lang w:val="en-US" w:eastAsia="zh-CN"/>
        </w:rPr>
        <w:t>3 依据规则</w:t>
      </w:r>
    </w:p>
    <w:p>
      <w:pPr>
        <w:snapToGrid w:val="0"/>
        <w:spacing w:line="440" w:lineRule="exact"/>
        <w:ind w:firstLine="420" w:firstLineChars="200"/>
        <w:rPr>
          <w:rFonts w:hint="eastAsia"/>
          <w:szCs w:val="21"/>
          <w:lang w:val="en-US" w:eastAsia="zh-CN"/>
        </w:rPr>
      </w:pPr>
      <w:r>
        <w:rPr>
          <w:rFonts w:hint="eastAsia"/>
          <w:szCs w:val="21"/>
          <w:lang w:val="en-US" w:eastAsia="zh-CN"/>
        </w:rPr>
        <w:t>3.1依据标准</w:t>
      </w:r>
    </w:p>
    <w:p>
      <w:pPr>
        <w:snapToGrid w:val="0"/>
        <w:spacing w:line="440" w:lineRule="exact"/>
        <w:ind w:firstLine="420" w:firstLineChars="200"/>
        <w:rPr>
          <w:rFonts w:hint="eastAsia"/>
          <w:szCs w:val="21"/>
          <w:lang w:val="en-US" w:eastAsia="zh-CN"/>
        </w:rPr>
      </w:pPr>
      <w:r>
        <w:rPr>
          <w:rFonts w:hint="eastAsia"/>
          <w:szCs w:val="21"/>
          <w:lang w:val="en-US" w:eastAsia="zh-CN"/>
        </w:rPr>
        <w:t>GB 29518-2013 柴油发动机氮氧化物还原剂 尿素水溶液（AUS32）</w:t>
      </w:r>
    </w:p>
    <w:p>
      <w:pPr>
        <w:snapToGrid w:val="0"/>
        <w:spacing w:line="440" w:lineRule="exact"/>
        <w:ind w:firstLine="420" w:firstLineChars="200"/>
        <w:rPr>
          <w:rFonts w:hint="eastAsia"/>
          <w:szCs w:val="21"/>
          <w:lang w:val="en-US" w:eastAsia="zh-CN"/>
        </w:rPr>
      </w:pPr>
      <w:r>
        <w:rPr>
          <w:rFonts w:hint="eastAsia"/>
          <w:szCs w:val="21"/>
          <w:lang w:val="en-US" w:eastAsia="zh-CN"/>
        </w:rPr>
        <w:t>现行有效的企业标准、团体标准、地方标准及产品明示质量要求</w:t>
      </w:r>
    </w:p>
    <w:p>
      <w:pPr>
        <w:snapToGrid w:val="0"/>
        <w:spacing w:line="440" w:lineRule="exact"/>
        <w:ind w:firstLine="420" w:firstLineChars="200"/>
        <w:rPr>
          <w:rFonts w:hint="eastAsia"/>
          <w:szCs w:val="21"/>
          <w:lang w:val="en-US" w:eastAsia="zh-CN"/>
        </w:rPr>
      </w:pPr>
      <w:r>
        <w:rPr>
          <w:rFonts w:hint="eastAsia"/>
          <w:szCs w:val="21"/>
          <w:lang w:val="en-US" w:eastAsia="zh-CN"/>
        </w:rPr>
        <w:t>3.2判定原则</w:t>
      </w:r>
    </w:p>
    <w:p>
      <w:pPr>
        <w:snapToGrid w:val="0"/>
        <w:spacing w:line="440" w:lineRule="exact"/>
        <w:ind w:firstLine="420" w:firstLineChars="200"/>
        <w:rPr>
          <w:rFonts w:hint="eastAsia"/>
          <w:szCs w:val="21"/>
          <w:lang w:val="en-US" w:eastAsia="zh-CN"/>
        </w:rPr>
      </w:pPr>
      <w:r>
        <w:rPr>
          <w:rFonts w:hint="eastAsia"/>
          <w:szCs w:val="21"/>
          <w:lang w:val="en-US" w:eastAsia="zh-CN"/>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hint="eastAsia"/>
          <w:szCs w:val="21"/>
          <w:lang w:val="en-US" w:eastAsia="zh-CN"/>
        </w:rPr>
      </w:pPr>
      <w:r>
        <w:rPr>
          <w:rFonts w:hint="eastAsia"/>
          <w:szCs w:val="21"/>
          <w:lang w:val="en-US" w:eastAsia="zh-CN"/>
        </w:rPr>
        <w:t>若被检产品明示的质量要求高于本细则中检验项目依据的标准要求时，应按被检产品明示的质量要求判定。</w:t>
      </w:r>
    </w:p>
    <w:p>
      <w:pPr>
        <w:snapToGrid w:val="0"/>
        <w:spacing w:line="440" w:lineRule="exact"/>
        <w:ind w:firstLine="420" w:firstLineChars="200"/>
        <w:rPr>
          <w:rFonts w:hint="eastAsia"/>
          <w:szCs w:val="21"/>
          <w:lang w:val="en-US" w:eastAsia="zh-CN"/>
        </w:rPr>
      </w:pPr>
      <w:r>
        <w:rPr>
          <w:rFonts w:hint="eastAsia"/>
          <w:szCs w:val="21"/>
          <w:lang w:val="en-US" w:eastAsia="zh-CN"/>
        </w:rPr>
        <w:t>若被检产品明示的质量要求低于本细则中检验项目依据的强制性标准要求时，应按照强制性标准要求判定。</w:t>
      </w:r>
    </w:p>
    <w:p>
      <w:pPr>
        <w:snapToGrid w:val="0"/>
        <w:spacing w:line="440" w:lineRule="exact"/>
        <w:ind w:firstLine="420" w:firstLineChars="200"/>
        <w:rPr>
          <w:rFonts w:hint="eastAsia"/>
          <w:szCs w:val="21"/>
          <w:lang w:val="en-US" w:eastAsia="zh-CN"/>
        </w:rPr>
      </w:pPr>
      <w:r>
        <w:rPr>
          <w:rFonts w:hint="eastAsia"/>
          <w:szCs w:val="21"/>
          <w:lang w:val="en-US" w:eastAsia="zh-CN"/>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hint="eastAsia"/>
          <w:szCs w:val="21"/>
          <w:lang w:val="en-US" w:eastAsia="zh-CN"/>
        </w:rPr>
      </w:pPr>
      <w:r>
        <w:rPr>
          <w:rFonts w:hint="eastAsia"/>
          <w:szCs w:val="21"/>
          <w:lang w:val="en-US" w:eastAsia="zh-CN"/>
        </w:rPr>
        <w:t>若被检产品明示的质量要求缺少本细则中检验项目依据的强制性标准要求时，应按照强制性标准要求判定。</w:t>
      </w:r>
    </w:p>
    <w:p>
      <w:pPr>
        <w:snapToGrid w:val="0"/>
        <w:spacing w:line="440" w:lineRule="exact"/>
        <w:ind w:firstLine="420" w:firstLineChars="200"/>
        <w:rPr>
          <w:rFonts w:hint="eastAsia"/>
          <w:szCs w:val="21"/>
          <w:lang w:val="en-US" w:eastAsia="zh-CN"/>
        </w:rPr>
      </w:pPr>
      <w:r>
        <w:rPr>
          <w:rFonts w:hint="eastAsia"/>
          <w:szCs w:val="21"/>
          <w:lang w:val="en-US" w:eastAsia="zh-CN"/>
        </w:rPr>
        <w:t>若被检产品明示的质量要求缺少本细则中检验项目依据的推荐性标准要求时，该项目不参与判定。</w:t>
      </w:r>
    </w:p>
    <w:p>
      <w:pPr>
        <w:snapToGrid w:val="0"/>
        <w:spacing w:line="440" w:lineRule="exact"/>
        <w:ind w:firstLine="420" w:firstLineChars="200"/>
        <w:rPr>
          <w:rFonts w:hint="eastAsia"/>
          <w:szCs w:val="21"/>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snapToGrid w:val="0"/>
        <w:spacing w:line="440" w:lineRule="exact"/>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b w:val="0"/>
          <w:bCs w:val="0"/>
          <w:color w:val="auto"/>
          <w:sz w:val="31"/>
          <w:szCs w:val="31"/>
          <w:lang w:val="en-US" w:eastAsia="zh-CN"/>
        </w:rPr>
      </w:pPr>
      <w:bookmarkStart w:id="1" w:name="_GoBack"/>
      <w:bookmarkEnd w:id="1"/>
    </w:p>
    <w:sectPr>
      <w:headerReference r:id="rId3" w:type="default"/>
      <w:footerReference r:id="rId4" w:type="default"/>
      <w:pgSz w:w="11906" w:h="16838"/>
      <w:pgMar w:top="1871" w:right="1304" w:bottom="1984"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0" w:usb1="00000000" w:usb2="00000000" w:usb3="00000000" w:csb0="0000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ZmQ5OTM5Y2E2OWI2ZjYzZmU3MjdmNWYyZTRmNmMifQ=="/>
  </w:docVars>
  <w:rsids>
    <w:rsidRoot w:val="134E109D"/>
    <w:rsid w:val="05457D11"/>
    <w:rsid w:val="063C4DCA"/>
    <w:rsid w:val="06F03EFF"/>
    <w:rsid w:val="07B44CAA"/>
    <w:rsid w:val="089B1342"/>
    <w:rsid w:val="0A952126"/>
    <w:rsid w:val="0EB74BB2"/>
    <w:rsid w:val="10DE3B24"/>
    <w:rsid w:val="134E109D"/>
    <w:rsid w:val="15D62A35"/>
    <w:rsid w:val="1992735F"/>
    <w:rsid w:val="1C7E55CF"/>
    <w:rsid w:val="1E5D54DC"/>
    <w:rsid w:val="1FB2570B"/>
    <w:rsid w:val="20D62F06"/>
    <w:rsid w:val="21881BCA"/>
    <w:rsid w:val="21B22F90"/>
    <w:rsid w:val="2208666C"/>
    <w:rsid w:val="23FC3FAF"/>
    <w:rsid w:val="2C8F325B"/>
    <w:rsid w:val="2F217439"/>
    <w:rsid w:val="2F5049F7"/>
    <w:rsid w:val="37133F3F"/>
    <w:rsid w:val="4819535F"/>
    <w:rsid w:val="495E7928"/>
    <w:rsid w:val="4E9866E7"/>
    <w:rsid w:val="502150D5"/>
    <w:rsid w:val="52B262DE"/>
    <w:rsid w:val="5B603BA9"/>
    <w:rsid w:val="5C297C37"/>
    <w:rsid w:val="5E3C30F2"/>
    <w:rsid w:val="5EA46143"/>
    <w:rsid w:val="5EFD5AFE"/>
    <w:rsid w:val="622F79DB"/>
    <w:rsid w:val="626A25FE"/>
    <w:rsid w:val="684526E2"/>
    <w:rsid w:val="6B304730"/>
    <w:rsid w:val="6E827F54"/>
    <w:rsid w:val="6F2E7E75"/>
    <w:rsid w:val="70EC0E01"/>
    <w:rsid w:val="73B96458"/>
    <w:rsid w:val="78304CBF"/>
    <w:rsid w:val="78A9057F"/>
    <w:rsid w:val="7DB9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character" w:styleId="10">
    <w:name w:val="page number"/>
    <w:qFormat/>
    <w:uiPriority w:val="0"/>
  </w:style>
  <w:style w:type="paragraph" w:customStyle="1" w:styleId="11">
    <w:name w:val="BodyTextIndent3"/>
    <w:basedOn w:val="1"/>
    <w:qFormat/>
    <w:uiPriority w:val="0"/>
    <w:pPr>
      <w:widowControl/>
      <w:snapToGrid w:val="0"/>
      <w:spacing w:line="600" w:lineRule="exact"/>
      <w:ind w:left="646" w:leftChars="323" w:firstLine="643" w:firstLineChars="201"/>
      <w:textAlignment w:val="baseline"/>
    </w:pPr>
    <w:rPr>
      <w:rFonts w:ascii="仿宋_GB2312" w:hAnsi="Calibri" w:eastAsia="仿宋_GB2312"/>
      <w:kern w:val="0"/>
      <w:sz w:val="32"/>
      <w:szCs w:val="20"/>
    </w:rPr>
  </w:style>
  <w:style w:type="character" w:customStyle="1" w:styleId="12">
    <w:name w:val="NormalCharacter"/>
    <w:semiHidden/>
    <w:qFormat/>
    <w:uiPriority w:val="0"/>
  </w:style>
  <w:style w:type="character" w:customStyle="1" w:styleId="13">
    <w:name w:val="Page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14452</Words>
  <Characters>16014</Characters>
  <Lines>0</Lines>
  <Paragraphs>0</Paragraphs>
  <TotalTime>147</TotalTime>
  <ScaleCrop>false</ScaleCrop>
  <LinksUpToDate>false</LinksUpToDate>
  <CharactersWithSpaces>16293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2023-08-20T09:01:00Z</dcterms:created>
  <dc:creator>wyp</dc:creator>
  <cp:lastModifiedBy>89749</cp:lastModifiedBy>
  <cp:lastPrinted>2025-12-24T08:48:00Z</cp:lastPrinted>
  <dcterms:modified xsi:type="dcterms:W3CDTF">2025-12-25T08:43:30Z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A41E7FB830064E20BE0ADEC9A2B9C826_13</vt:lpwstr>
  </property>
  <property fmtid="{D5CDD505-2E9C-101B-9397-08002B2CF9AE}" pid="4" name="KSOTemplateDocerSaveRecord">
    <vt:lpwstr>eyJoZGlkIjoiNmQ5YmJmZGE5YzI5MjExYzdlNDM5ZTJkNzRiNTczYTMiLCJ1c2VySWQiOiI2MjE0MzI4NjEifQ==</vt:lpwstr>
  </property>
</Properties>
</file>